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2022年以来涉交通运输业国家主要财税金融</w:t>
      </w:r>
    </w:p>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优惠政策目录清单</w:t>
      </w:r>
    </w:p>
    <w:p>
      <w:pPr>
        <w:adjustRightInd w:val="0"/>
        <w:snapToGrid w:val="0"/>
        <w:spacing w:before="156" w:beforeLines="50" w:after="156" w:afterLines="50" w:line="360" w:lineRule="auto"/>
        <w:jc w:val="center"/>
        <w:outlineLvl w:val="0"/>
        <w:rPr>
          <w:rFonts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w:t>
      </w:r>
      <w:r>
        <w:rPr>
          <w:rFonts w:ascii="方正小标宋_GBK" w:hAnsi="方正小标宋_GBK" w:eastAsia="方正小标宋_GBK" w:cs="方正小标宋_GBK"/>
          <w:bCs/>
          <w:color w:val="000000"/>
          <w:sz w:val="36"/>
          <w:szCs w:val="44"/>
        </w:rPr>
        <w:t>3</w:t>
      </w:r>
      <w:r>
        <w:rPr>
          <w:rFonts w:hint="eastAsia" w:ascii="方正小标宋_GBK" w:hAnsi="方正小标宋_GBK" w:eastAsia="方正小标宋_GBK" w:cs="方正小标宋_GBK"/>
          <w:bCs/>
          <w:color w:val="000000"/>
          <w:sz w:val="36"/>
          <w:szCs w:val="44"/>
        </w:rPr>
        <w:t>）</w:t>
      </w:r>
    </w:p>
    <w:p>
      <w:pPr>
        <w:spacing w:line="360" w:lineRule="auto"/>
        <w:rPr>
          <w:rFonts w:ascii="黑体" w:hAnsi="黑体" w:eastAsia="黑体" w:cs="方正小标宋_GBK"/>
          <w:bCs/>
          <w:color w:val="000000"/>
          <w:sz w:val="30"/>
          <w:szCs w:val="44"/>
        </w:rPr>
      </w:pPr>
      <w:r>
        <w:rPr>
          <w:rFonts w:hint="eastAsia" w:ascii="黑体" w:hAnsi="黑体" w:eastAsia="黑体" w:cs="方正小标宋_GBK"/>
          <w:bCs/>
          <w:color w:val="000000"/>
          <w:sz w:val="30"/>
          <w:szCs w:val="44"/>
        </w:rPr>
        <w:t xml:space="preserve">财务审计司编发                     </w:t>
      </w:r>
      <w:r>
        <w:rPr>
          <w:rFonts w:ascii="黑体" w:hAnsi="黑体" w:eastAsia="黑体" w:cs="方正小标宋_GBK"/>
          <w:bCs/>
          <w:color w:val="000000"/>
          <w:sz w:val="30"/>
          <w:szCs w:val="44"/>
        </w:rPr>
        <w:t>4</w:t>
      </w:r>
      <w:r>
        <w:rPr>
          <w:rFonts w:hint="eastAsia" w:ascii="黑体" w:hAnsi="黑体" w:eastAsia="黑体" w:cs="方正小标宋_GBK"/>
          <w:bCs/>
          <w:color w:val="000000"/>
          <w:sz w:val="30"/>
          <w:szCs w:val="44"/>
        </w:rPr>
        <w:t>月</w:t>
      </w:r>
      <w:r>
        <w:rPr>
          <w:rFonts w:ascii="黑体" w:hAnsi="黑体" w:eastAsia="黑体" w:cs="方正小标宋_GBK"/>
          <w:bCs/>
          <w:color w:val="000000"/>
          <w:sz w:val="30"/>
          <w:szCs w:val="44"/>
        </w:rPr>
        <w:t>2</w:t>
      </w:r>
      <w:r>
        <w:rPr>
          <w:rFonts w:hint="eastAsia" w:ascii="黑体" w:hAnsi="黑体" w:eastAsia="黑体" w:cs="方正小标宋_GBK"/>
          <w:bCs/>
          <w:color w:val="000000"/>
          <w:sz w:val="30"/>
          <w:szCs w:val="44"/>
          <w:lang w:val="en-US" w:eastAsia="zh-CN"/>
        </w:rPr>
        <w:t>1</w:t>
      </w:r>
      <w:r>
        <w:rPr>
          <w:rFonts w:hint="eastAsia" w:ascii="黑体" w:hAnsi="黑体" w:eastAsia="黑体" w:cs="方正小标宋_GBK"/>
          <w:bCs/>
          <w:color w:val="000000"/>
          <w:sz w:val="30"/>
          <w:szCs w:val="44"/>
        </w:rPr>
        <w:t>日至</w:t>
      </w:r>
      <w:r>
        <w:rPr>
          <w:rFonts w:hint="eastAsia" w:ascii="黑体" w:hAnsi="黑体" w:eastAsia="黑体" w:cs="方正小标宋_GBK"/>
          <w:bCs/>
          <w:color w:val="000000"/>
          <w:sz w:val="30"/>
          <w:szCs w:val="44"/>
          <w:lang w:val="en-US" w:eastAsia="zh-CN"/>
        </w:rPr>
        <w:t>5</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31</w:t>
      </w:r>
      <w:r>
        <w:rPr>
          <w:rFonts w:hint="eastAsia" w:ascii="黑体" w:hAnsi="黑体" w:eastAsia="黑体" w:cs="方正小标宋_GBK"/>
          <w:bCs/>
          <w:color w:val="000000"/>
          <w:sz w:val="30"/>
          <w:szCs w:val="44"/>
        </w:rPr>
        <w:t>日</w:t>
      </w:r>
    </w:p>
    <w:tbl>
      <w:tblPr>
        <w:tblStyle w:val="15"/>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63"/>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blHeader/>
          <w:jc w:val="center"/>
        </w:trPr>
        <w:tc>
          <w:tcPr>
            <w:tcW w:w="710"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序号</w:t>
            </w:r>
          </w:p>
        </w:tc>
        <w:tc>
          <w:tcPr>
            <w:tcW w:w="2463"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政策文件</w:t>
            </w:r>
          </w:p>
        </w:tc>
        <w:tc>
          <w:tcPr>
            <w:tcW w:w="5851" w:type="dxa"/>
            <w:vAlign w:val="center"/>
          </w:tcPr>
          <w:p>
            <w:pPr>
              <w:spacing w:line="240" w:lineRule="auto"/>
              <w:jc w:val="center"/>
              <w:rPr>
                <w:rFonts w:ascii="仿宋_GB2312" w:hAnsi="仿宋" w:eastAsia="仿宋_GB2312"/>
                <w:b/>
                <w:color w:val="000000"/>
                <w:szCs w:val="21"/>
                <w:highlight w:val="none"/>
              </w:rPr>
            </w:pPr>
            <w:r>
              <w:rPr>
                <w:rFonts w:hint="eastAsia" w:ascii="仿宋_GB2312" w:hAnsi="仿宋" w:eastAsia="仿宋_GB2312"/>
                <w:b/>
                <w:color w:val="000000"/>
                <w:szCs w:val="21"/>
                <w:highlight w:val="none"/>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《国务院关于印发扎实稳住经济一揽子政策措施的通知》（国发〔2022〕12号）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财政政策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抓紧办理小微企业、个体工商户留抵退税并加大帮扶力度，在纳税人自愿申请的基础上，6月30日前基本完成集中退还存量留抵税额。</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加快地方政府专项债券发行使用并扩大支持范围。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9大领域基础上，适当扩大专项债券支持领域，优先考虑将新型基础设施、新能源项目等纳入支持范围。</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用好政府性融资担保等政策。今年新增国家融资担保基金再担保合作业务规模1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30亿元资金，支持融资担保机构进一步扩大小微企业融资担保业务规模，降低融资担保费率。推动有条件的地方对支小支农担保业务保费给予阶段性补贴。</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（4）加大政府采购支持中小企业力度。将面向小微企业的价格扣除比例由6%—10%提高至10%—20%。政府采购</w:t>
            </w:r>
            <w:r>
              <w:rPr>
                <w:rFonts w:hint="eastAsia" w:ascii="仿宋_GB2312" w:hAnsi="仿宋_GB2312" w:eastAsia="仿宋_GB2312" w:cs="仿宋_GB2312"/>
                <w:highlight w:val="none"/>
                <w:lang w:eastAsia="zh-CN"/>
              </w:rPr>
              <w:t>工程要落实促进中小企业发展的政府采购政策。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lang w:eastAsia="zh-CN"/>
              </w:rPr>
              <w:t>加大稳岗支持力度。优化失业保险稳岗返还政策，进一步提高返还比例，将大型企业稳岗返还比例由30%提至50%。拓宽失业保险留工补助受益范围，由中小微企业扩大至受疫情严重影响暂时无法正常生产经营的所有参保企业。企业招用毕业年度高校毕业生，签订劳动合同并参加失业保险的，可按每人不超过1500元的标准，发放一次性扩岗补助，具体补助标准由各省份确定，与一次性吸纳就业补贴不重复享受，政策执行期限至今年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货币金融政策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鼓励对中小微企业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应延尽延，本轮延期还本付息日期原则上不超过2022年底。中央汽车企业所属金融子企业要发挥引领示范作用，对2022年6月30日前发放的商用货车消费贷款给予6个月延期还本付息支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加大普惠小微贷款支持力度。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继续推动实际贷款利率稳中有降。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提高资本市场融资效率。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稳投资促消费等政策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加快推动交通基础设施投资。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稳定增加汽车等大宗消费。研究今年内对一定排量以下乘用车减征车辆购置税的支持政策。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保产业链供应链稳定政策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降低市场主体用水用电用网等成本。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担保。</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推动阶段性减免市场主体房屋租金。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加大对民航等受疫情影响较大行业企业的纾困支持力度。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统筹加大对物流枢纽和物流企业的支持力度。2022年，中央财政安排50亿元左右，择优支持全国性重点枢纽城市，提升枢纽的货物集散、仓储、中转运输、应急保障能力，引导加快推进多式联运融合发展，降低综合货运成本。加快1000亿元交通物流专项再贷款政策落地，支持交通物流等企业融资，加大结构性货币政策工具对稳定供应链的支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保基本民生政策。实施住房公积金阶段性支持政策。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人力资源社会保障部 国家发展改革委 财政部 税务总局关于扩大阶段性缓缴社会保险费政策实施范围等问题的通知（人社部发〔2022〕31号）</w:t>
            </w:r>
          </w:p>
          <w:p>
            <w:pPr>
              <w:spacing w:line="240" w:lineRule="auto"/>
              <w:rPr>
                <w:rFonts w:hint="eastAsia" w:ascii="仿宋_GB2312" w:hAnsi="仿宋_GB2312" w:eastAsia="仿宋_GB2312" w:cs="仿宋_GB2312"/>
                <w:highlight w:val="none"/>
                <w:lang w:eastAsia="zh-CN"/>
              </w:rPr>
            </w:pP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扩大实施缓缴政策的困难行业范围。在对餐饮、零售、旅游、民航、公路水路铁路运输等5个特困行业实施阶段性缓缴三项社保费政策的基础上，以产业链供应链受疫情影响较大、生产经营困难的制造业企业为重点，进一步扩大实施范围（具体行业名单附后）。缓缴扩围行业所属困难企业，可申请缓缴三项社保费单位缴费部分，其中养老保险费缓缴实施期限到2022年年底，工伤、失业保险费缓缴期限不超过1年。原明确的5个特困行业缓缴养老保险费期限相应延长至2022年年底。缓缴期间免收滞纳金。</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对受疫情影响较大、生产经营困难的中小微企业实施缓缴政策。受疫情影响严重地区生产经营出现暂时困难的所有中小微企业、以单位方式参保的个体工商户，可申请缓缴三项社保费单位缴费部分，缓缴实施期限到2022年年底，期间免收滞纳金。参加企业职工基本养老保险的事业单位及社会团体、基金会、社会服务机构、律师事务所、会计师事务所等社会组织参照执行。</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进一步发挥失业保险稳岗作用。加大稳岗返还支持力度，将大型企业稳岗返还比例由30%提至50%。拓宽一次性留工培训补助受益范围，由出现中高风险疫情地区的中小微企业扩大至该地区的大型企业；各省（自治区、直辖市）还可根据当地受疫情影响程度以及基金结余情况，进一步拓展至未出现中高风险疫情地区的餐饮、零售、旅游、民航和公路水路铁路运输5个行业企业。上述两项政策实施条件和期限与《关于做好失业保险稳岗位提技能防失业工作的通知》（人社部发〔2022〕23号）一致。企业招用毕业年度高校毕业生，签订劳动合同并参加失业保险的，可按每人不超过1500元的标准，发放一次性扩岗补助，具体补助标准由各省份确定，与一次性吸纳就业补贴政策不重复享受，实施期限截至2022年年底。</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规范缓缴实施办法。申请缓缴的企业应符合受疫情影响生产经营出现暂时困难、处于亏损状态等条件。各省份要结合地方实际和基金承受能力，在确保养老金等各项社会保险待遇按时足额发放的基础上，制定具体实施办法，明确实施程序、缓缴期限、困难企业和受疫情影响严重地区认定标准、审批流程和工作机制等，可授权县（区）人力资源社会保障部门会同相关部门负责审批。各县（区）要严格把握适用范围和条件，不得擅自扩大范围、降低标准，批准缓缴的企业名单等情况按月报省级人力资源社会保障、税务部门。各省份具体实施办法出台后报人力资源社会保障部、国家发展改革委、财政部、税务总局备案。 </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简化企业申报流程。缓缴社会保险费坚持自愿原则，符合条件的困难企业，可根据自身情况申请缓缴一定期限的社会保险费。各级人力资源社会保障、税务部门要简化办事流程，大力推行“网上办”等不见面服务方式，简化程序，方便企业办理，减轻企业事务性负担。对生产经营困难、所属行业类型等适用条件，可实行告知承诺制，企业出具符合条件的书面承诺。要加强事后监督检查，对作出承诺但经查不符合条件的企业，要及时追缴缓缴的社会保险费，并按规定加收滞纳金。各省份要全面推行稳岗返还“免申即享”经办新模式，通过大数据比对，直接向符合条件的企业发放资金。</w:t>
            </w:r>
          </w:p>
          <w:p>
            <w:pPr>
              <w:spacing w:line="240" w:lineRule="auto"/>
              <w:rPr>
                <w:rFonts w:hint="default"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6.切实维护职工权益。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pPr>
              <w:spacing w:line="240" w:lineRule="auto"/>
              <w:rPr>
                <w:rFonts w:hint="eastAsia" w:ascii="仿宋_GB2312" w:hAnsi="仿宋_GB2312" w:eastAsia="仿宋_GB2312" w:cs="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《关于减征部分乘用车车辆购置税的公告》（财政部 税务总局公告2022年第20号）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对购置日期在2022年6月1日至2022年12月31日期间内且单车价格（不含增值税）不超过30万元的2.0升及以下排量乘用车，减半征收车辆购置税。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《关于提前下达第三批支持基层落实减税降费和重点民生等转移支付资金预算的通知》（财预〔2022〕79号）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中央财政提前下达第三批支持基层落实减税降费和重点民生等转移支付资金预算指标，支持地方落实好留抵退税和其他减税降费政策。上述资金列入2023年预算，库款于2022年先行单独调拨。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《关于支持加快农产品供应链体系建设 进一步促进冷链物流发展的通知》（财办建〔2022〕36号）</w:t>
            </w:r>
          </w:p>
        </w:tc>
        <w:tc>
          <w:tcPr>
            <w:tcW w:w="5851" w:type="dxa"/>
            <w:vAlign w:val="center"/>
          </w:tcPr>
          <w:p>
            <w:pPr>
              <w:spacing w:line="240" w:lineRule="auto"/>
              <w:rPr>
                <w:rFonts w:hint="eastAsia" w:ascii="仿宋_GB2312" w:hAnsi="仿宋_GB2312" w:eastAsia="宋体" w:cs="仿宋_GB2312"/>
                <w:highlight w:val="none"/>
                <w:lang w:val="en-US" w:eastAsia="zh-CN"/>
              </w:rPr>
            </w:pPr>
            <w:r>
              <w:rPr>
                <w:rFonts w:hint="eastAsia" w:ascii="仿宋_GB2312" w:hAnsi="仿宋_GB2312" w:eastAsia="仿宋_GB2312" w:cs="仿宋_GB2312"/>
                <w:highlight w:val="none"/>
                <w:lang w:eastAsia="zh-CN"/>
              </w:rPr>
              <w:t>通过中央财政服务业发展资金（以下简称服务业资金）引导有关省（自治区、直辖市）统筹推进农产品供应链体系建设，引导支持的主要方向主要有：增强农产品批发市场冷链流通能力，提高冷链物流重点干支线配送效率，完善农产品零售终端冷链环境，统筹支持农产品市场保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《关于发挥财政政策引导作用支持金融助力市场主体纾困发展的通知》（财金〔2022〕60号）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发挥政府性融资担保机构增信作用。地方各级政府性融资担保机构对符合条件的交通运输、餐饮、住宿、旅游等行业的中小微企业和个体工商户提供融资担保支持，及时履行代偿义务，推动金融机构尽快放贷，不抽贷、不压贷、不断贷。2022年，将上述符合条件的融资担保业务纳入国家融资担保基金再担保合作范围。有条件的地方要加大对政府性融资担保机构的资本金补充、担保费补贴等支持力度。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加大创业担保贷款贴息力度。县级以上地方财政部门要会同有关方面加大创业担保贷款贴息政策宣传和实施力度，重点加大对受疫情影响较大的交通运输、餐饮、住宿、旅游等行业小微企业和个体工商户的支持，助力援企稳岗。有条件的地方要加快推广创业担保贷款线上业务模式，简化业务审批流程，提高贷款便利度。县级以上地方财政部门应按规定及时补充创业担保贷款担保基金，或由政府性融资担保机构为符合条件的创业个人和小微企业提供担保增信，支持创业担保贷款扩面增量。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落实中央财政支持普惠金融发展示范区奖补政策。各省级财政部门要认真组织落实《财政部 人民银行 银保监会关于实施中央财政支持普惠金融发展示范区奖补政策的通知》（财金〔2021〕96号），指导示范区所在地财政部门抓紧制定奖补资金分配、使用和管理办法，落实落细示范区建设方案，加强部门协同和政策联动，切实引导普惠金融服务增量、扩面、降本、增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7</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《关于阶段性实施国内客运航班运行财政补贴的通知》（</w:t>
            </w:r>
            <w:r>
              <w:rPr>
                <w:rFonts w:hint="eastAsia" w:ascii="仿宋_GB2312" w:hAnsi="仿宋_GB2312" w:eastAsia="仿宋_GB2312" w:cs="仿宋_GB2312"/>
                <w:highlight w:val="none"/>
                <w:lang w:eastAsia="zh-CN"/>
              </w:rPr>
              <w:t>财建〔2022〕142号）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为夯实民航安全基础，以保最低运行航班量和保安全飞行为目标，现对国内运输航空公司经营的国内客运航班实施阶段性财政补贴：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财政补贴启动条件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原则上当每周内日均国内客运航班量低于或等于4500班（保持安全运行最低飞行航班数）时，启动财政补贴。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补贴对象和范围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国内运输航空公司执飞同时符合下列条件的国内客运航班，纳入资金支持范围。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）国内客运航班，不含港澳台航班、承担重大紧急运输任务的航班、调机、公务机等。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）实际运行的每周内日均国内客运航班量未超过保持安全运行最低飞行航班数。经停航班按每条航段起飞港分别核算。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）每周每条航段平均客座率未超过75%。多家运输航空公司共飞同一航段，按各公司该航段周平均客座率计算。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）航班实际收入无法覆盖变动成本。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补贴标准和期限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）对国内客运航班实际收入扣减变动成本后的亏损额给予补贴。设定最高亏损额补贴标准上限为每小时2.4万元。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）政策实施期限为2022年5月21日至2022年7月20日。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资金渠道和支付方式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补贴资金由中央和地方财政共同承担。其中，中央财政对东部、中部、西部地区分别补助65%、70%、80%，东部、中部、西部地区地方财政分别承担35%、30%、20%。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补贴资金由航班起飞港所在地（直辖市、计划单列市或地级以上城市，下同）财政部门拨付。中央财政补贴资金列入转移支付下拨相关省级财政部门（航班起飞港所在地为计划单列市的，省级财政部门指计划单列市财政部门，下同），采取先预拨后清算的方式。在政策实施后，分两批预拨中央财政补贴资金上限的70%；剩余30%待补贴政策到期后，根据实际情况按规定标准进行清算，多退少补。 </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地方财政补贴资金到位情况，由航班起飞港所在地财政部门会同民航相关地区管理局于资金拨付后及时报送财政部、民航局。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8</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《住房和城乡建设部　财政部</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lang w:eastAsia="zh-CN"/>
              </w:rPr>
              <w:t>人民银行关于实施住房公积金阶段性支持政策的通知》（建金〔2022〕45号）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受新冠肺炎疫情影响的企业，可按规定申请缓缴住房公积金，到期后进行补缴。在此期间，缴存职工正常提取和申请住房公积金贷款，不受缓缴影响。</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受新冠肺炎疫情影响的缴存人，不能正常偿还住房公积金贷款的，不作逾期处理，不作为逾期记录报送征信部门。</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各地根据当地房租水平和合理租住面积，可提高住房公积金租房提取额度，支持缴存人按需提取，更好地满足缴存人支付房租的实际需要。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上述支持政策实施时限暂定至2022年12月31日。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《关于中央企业助力中小企业纾困解难促进协同发展有关事项的通知》（国资发财评〔2022〕40号）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及时足额支付账款，助力缓解中小企业资金困难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严格落实《保障中小企业款项支付条例》，对中小企业账款坚持“应付尽付、应付快付”，从制度、机制、流程和信息化管控上杜绝滥用市场优势地位恶意拖欠账款行为。</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严格按照合同约定的时间、方式，及时足额支付中小企业款项。对于出现临时资金周转困难的子企业，集团公司或上级单位要给予临时性资金或增信支持，确保及时足额支付中小企业账款。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对于长期合作、信誉良好、履约及时、确有困难的中小企业，在确保资金安全、对方书面申请、严格履行内部决策程序的前提下，可提前支付或预付部分账款。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加强合规管理，清理霸王条款，不得设立不合理的付款条件、时限。严控“背靠背”付款条款，加强上游款项催收，上游付款后要及时对中小企业付款。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严格票据等非现金支付管理，现金流较为充裕的企业要优先使用现金支付中小企业账款。未事先明示、书面约定非现金支付的，原则上不得使用非现金支付。开具的商业承兑汇票和供应链债务凭证期限原则上不得超过6个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切实加快减免房租，助力支持服务业小微企业和个体工商户渡过难关</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认真落实《关于做好2022年服务业小微企业和个体工商户房租减免工作的通知》（国资厅财评〔2022〕29号，以下简称29号文件）要求，坚持“应免尽免、应免快免”，切实加快减免房租政策落地。</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对承租中央企业房屋的服务业小微企业和个体工商户，要在2022年普遍减免3个月租金，并力争在上半年完成减免主体工作。对2022年租期分属不同承租人的，要根据不同承租人实际租期按比例减免。</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对2022年被列为疫情中高风险地区所在县级行政区域内，承租中央企业房屋的服务业小微企业和个体工商户，再补充减免3个月租金，补充减免工作要在所在县级行政区域出现疫情中高风险地区后2个月内完成。</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对于转租、分租中央企业房屋的，要持续加大工作力度，确保减租政策有效传导至实际承租人。对于所属股权多元化子企业，要积极沟通协调，争取中小股东理解支持，在规范履行内部决策程序后，尽快减免租金。</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出租房屋所在地政府出台房租减免政策力度大于29号文件要求的，要认真执行属地政策，确保政策不打折扣。对参股企业所属房屋，要积极承担股东责任，与其他股东协商争取支持。不属于29号文件规定减免对象的中小企业提出减免房租申请的，鼓励中央企业本着互惠互利、友好协商、规范决策、共渡难关的原则，在能力可及范围内给予必要帮扶。</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大力实施降费提质，助力降低中小企业运行成本</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坚决配合地方政府价格主管部门和市场监管部门清理转供电环节不合理加价。对于转供电主体内部产权明晰、具备改造条件的，有序推进“转改直”工作。按照国家有关要求清理规范城镇供电收费，进一步规范收费项目和标准。</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落实好餐饮、零售、旅游、民航、公路水路铁路运输等特困行业有关纾困扶持措施，积极配合地方价格主管部门做好特困行业小微企业和个体工商户实行用电阶段性优惠工作。对受疫情影响暂时出现生产经营困难的小微企业和个体工商户用水、用电、用气实行“欠费不停供”，允许其在6个月内补缴欠费。</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加快推动5G、人工智能、工业互联网、物联网、大数据、区块链等创新技术与实体产业融合应用，支持中小企业数字化转型。加快发展5G和千兆宽带网络，提升服务质量和水平，打通宽带入户“最后一公里”，确保2022年对中小企业宽带和专线平均资费再降10%。加大云盘、云会议等云办公产品优惠力度，减轻疫情对中小企业线下办公的影响。</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创新服务手段，对用水、用电、用气等实施阳光服务，加快实现缴费、保修等“一网通办”。积极建云建平台，大力推进“云采购”“云签约”“云结算”“云物流”，努力让信息多跑路，尽可能节约中小企业“脚底”成本，积极为受疫情影响较大的中小企业减免用云、用平台的费用。</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有力支持资金融通，助力缓解中小企业融资困难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加大对商用货车消费贷款的支持力度，有效缓解物流企业和个体货车司机贷款偿还压力。中央汽车企业所属金融子企业要发挥引领示范作用，对2022年6月30日前发放的商用货车消费贷款给予6个月延期还本付息政策支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积极发挥产业链“核心”企业作用，支持配合上下游中小企业开展供应链融资，努力实现自身优质信用与上下游中小企业共享。中小企业需要以其持有的中央企业集团内单位应付账款、出具的商票和供应链债务凭证等办理融资业务的，要及时确权，严禁高息套利。</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积极发挥供应链服务平台作用，基于真实业务数据为上下游中小企业信用赋能，助力中小企业拓展融资渠道、获取低成本资金、减少资金占用。借鉴电e金服“电e贷”、中储智运“运费贷”等供应链平台服务中小企业的经验，立足自身创新服务中小企业方式。</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持续推进保函（保险）替代现金保证金，不得向中小企业超比例收取或变相收取不合理的保证金，不得限定中小企业提供保证的方式，及时退还到期保证金。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10</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人民银行印发《关于推动建立金融服务小微企业敢贷愿贷能贷会贷长效机制的通知》</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健全容错安排和风险缓释机制，增强敢贷信心</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优化完善尽职免责制度。各金融机构要通过建立正面清单和负面清单、搭建申诉平台、加强公示等，探索简便易行、客观可量化的尽职免责内部认定标准和流程，引导相关岗位人员勤勉尽职，适当提高免责和减责比例。在有效防范道德风险的前提下，对小微企业贷款不良率符合监管规定的分支机构，可免除或减轻相关人员内部考核扣分、行政处分、经济处罚等责任。贷款风险发生后需启动问责程序的，要先启动尽职免责认定程序、开展尽职免责调查与评议并进行责任认定。要通过案例引导、经验交流等方式，推动尽职免责制度落地，营造尽职免责的信贷文化氛围。</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改进小微企业不良贷款处置方式。各金融机构要落实好普惠小微贷款不良容忍度监管要求，对不超出容忍度标准的分支机构，计提效益工资总额时，可不考虑或部分考虑不良贷款造成的利润损失。优先安排小微企业不良贷款核销计划，确保应核尽核。用好批量转让、资产证券化、重组转化等处置手段，提高小微企业不良贷款处置质效。对长账龄不良贷款，争取实现应处置尽处置。人民银行分支机构在各项评估中，可对普惠小微贷款增速、增量进行不良贷款核销还原，鼓励金融机构加快普惠小微不良贷款处置。</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积极开展银政保担业务合作。各金融机构要积极与政府性融资担保机构开展“见贷即担”“见担即贷”批量担保业务合作，减少重复尽职调查，优化担保流程，提高担保效率。深化“银行+保险”合作，优化保单质押、贷款保证保险等合作业务流程，助力小微企业融资。人民银行分支机构要会同相关部门推动政府性融资担保机构合理提高担保放大倍数，降低担保费率和反担保要求，扩大对小微企业的覆盖面，降低或取消盈利性考核要求，依法依约及时履行代偿责任，适度提高代偿比例。鼓励有条件的地方设立风险补偿基金，为小微信贷业务提供风险缓释。</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强化正向激励和评估考核，激发愿贷动力</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）进一步优化信贷结构，逐步转变对地方政府融资平台、国有企业等的传统偏好，扭转“垒大户”倾向，减少超过合理融资需求的多头授信、过度授信，腾挪更多信贷资源支持小微企业发展。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优化提升贷款精细化定价水平。各金融机构要继续完善成本分摊和收益分享机制，加大内部资金转移定价优惠幅度，调整优化经济资本占用计量系数，加大对小微业务的倾斜支持力度。将贷款市场报价利率（LPR）内嵌到内部定价和传导相关环节，统筹考虑小微市场主体资质、经营状况、担保方式、贷款期限等情况，提高精细化定价水平，推动综合融资成本稳中有降。适当下放贷款定价权限，提高分支机构金融服务效率。对受新冠肺炎疫情影响严重行业和地区的小微企业，鼓励阶段性实行更优惠的利率和服务收费，减免罚息，减轻困难企业负担。</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改进完善差异化绩效考核机制。各金融机构要进一步强化绩效考核引导，优化评价指标体系，降低或取消对小微业务条线存款、利润、中间业务等考核要求，适当提高信用贷款、首贷户等指标权重。将金融服务小微企业情况与分支机构考核挂钩，作为薪酬激励、评优评先的主要依据。合理增加专项激励工资、营销费用补贴、业务创新奖励等配套供给，鼓励开展小微客户拓展和产品创新。做好考核目标分解落实，确保各项保障激励政策及时兑现，充分调动分支机构和一线从业人员积极性。</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加强政策效果评估运用。人民银行分支机构要认真开展小微企业信贷政策导向效果评估，推动金融机构将评估结果纳入对其分支机构的综合绩效考核。加强财政金融政策协同，推动有条件的地方将小微企业金融服务情况与财政奖补等挂钩。继续开展区域融资环境评价，完善评价体系，加强评价结果运用，推动地方融资环境持续优化。</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做好资金保障和渠道建设，夯实能贷基础</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发挥好货币政策工具总量和结构双重功能。各金融机构要充分运用降准释放的长期资金、再贷款再贴现等结构性货币政策工具提供的资金，将新增信贷资源优先投向小微企业。人民银行分支机构要运用好普惠小微贷款支持工具，推动金融机构持续增加普惠小微贷款投放，更多发放信用贷款。</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持续增加小微企业信贷供给。各金融机构要围绕普惠小微贷款增速不低于各项贷款平均增速的目标，结合各项贷款投放安排，科学制定年度普惠小微专项信贷计划，鼓励有条件的金融机构单列信用贷、首贷计划，加强监测管理，确保贷款专项专用。全国性银行分解专项信贷计划，要向中西部地区、信贷增长缓慢地区和受疫情影响严重地区和行业倾斜。地方法人银行新增可贷资金要更多用于发放涉农和小微企业贷款，确保涉农和普惠小微贷款持续稳定增长。人民银行分支机构要及时调研了解辖区内金融机构普惠小微专项信贷计划制定和落实情况，并加强督促指导。</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拓宽多元化信贷资金来源渠道。鼓励金融机构在依法合规、风险可控前提下，通过信贷资产证券化等方式，盘活存量信贷资源。通过加大利润留存、适当控制风险资产增速等，增加内生资本补充。继续支持中小银行发行永续债、二级资本债，配合有关部门指导地方政府用好新增专项债额度合理补充中小银行资本，鼓励资质相对较好的银行通过权益市场融资，加大外源资本补充力度。金融债券余额管理试点银行要在年度批复额度内，合理安排小微企业金融债券发行规模，严格规范募集资金使用管理。人民银行分支机构要及时摸排地方法人银行发行小微企业金融债券、资本补充债券需求，做好辅导沟通，提高发行效率。鼓励有条件的地区对地方法人银行发行小微企业金融债券进行奖补。</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推动科技赋能和产品创新，提升会贷水平</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健全分层分类的小微金融服务体系。开发性银行、政策性银行要加强对转贷款资金的规范管理，确保用于小微企业信贷供给，并围绕核心企业创新供应链金融模式，探索为其上下游小微企业提供直贷业务。全国性银行要发挥“头雁”作用，充分运用网点、人才和科技优势，切实满足小微企业综合金融服务需求，提高融资可得性和便利性。地方法人银行要强化支农支小定位，将增加小微信贷投放与改革化险相结合，充分发挥贴近基层优势，形成特色化产品和服务模式，重点支持县域经济和小微企业发展。</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丰富特色化金融产品。各金融机构要针对小微企业生命周期、所属行业、交易场景和融资需求等特点，持续推进信贷产品创新，合理设置贷款期限，优化贷款流程，继续推广主动授信、随借随还贷款模式，满足小微企业灵活用款需求。运用续贷、年审制等方式，丰富中长期贷款产品供给。依托核心企业，优化对产业链上下游小微企业的融资、结算等金融服务，积极开展应收账款、预付款、存货、仓单等权利和动产质押融资业务。发挥动产融资统一登记公示系统、供应链票据平台、中征应收账款融资服务平台作用，拓宽抵质押物范围，便利小微企业融资。</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加大对重点领域和困难行业的金融支持力度。深入研究个体工商户经营特点和融资需求，加大创业担保贷款、信用贷款投放力度，为个体工商户发展提供更多金融服务。鼓励为符合授信条件但未办理登记注册的个体经营者提供融资支持，激发创业动能。按照市场化、法治化原则，提高对新市民在创业、就业、教育等领域的金融服务质效。人民银行分支机构、各金融机构要做好疫情防控下的金融服务和困难行业支持工作，加强与商务、文旅、交通等行业主管部门的沟通协作，发挥普惠性支持措施和针对性支持措施合力，帮助企业纾困，避免出现行业性限贷、抽贷、断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11</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《国务院办公厅关于推动外贸保稳提质的意见》（国办发〔2022〕18号）</w:t>
            </w:r>
          </w:p>
          <w:p>
            <w:pPr>
              <w:spacing w:line="240" w:lineRule="auto"/>
              <w:rPr>
                <w:rFonts w:hint="eastAsia" w:ascii="仿宋_GB2312" w:hAnsi="仿宋_GB2312" w:eastAsia="仿宋_GB2312" w:cs="仿宋_GB2312"/>
                <w:highlight w:val="none"/>
                <w:lang w:eastAsia="zh-CN"/>
              </w:rPr>
            </w:pP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加强外贸企业生产经营保障。涉疫地区（中高风险地区所在县级行政区域）所在省份，在做好疫情防控的同时，确定重点外贸企业名录和相关物流企业、人员名录，对生产、物流、用工予以保障，尽快帮助受疫情影响的外贸企业复工达产，保障外贸供应链稳定。</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促进外贸货物运输保通保畅。各地方严格落实全国保障物流畅通促进产业链供应链稳定电视电话会议精神及《国务院应对新型冠状病毒感染肺炎疫情联防联控机制关于切实做好货运物流保通保畅工作的通知》（国办发明电〔2022〕3号）要求，将外贸货物纳入重要物资范围，全力保障货运物流运输畅通，有运输需求的外贸企业，可按有关规定申领重点物资运输车辆通行证。有力有序疏通海空港等集疏运，提高作业和通关效率。各地要积极优化作业流程，进一步压缩国际班轮等泊时间，不得层层加码，出台影响国际集装箱班轮靠港作业效率的措施。加强航空口岸机场海关及作业人员保障，用好航空货运运力，保障重要零部件、装备和产品运输。加强与国际货运班列沿线国家沟通协调，同步提高铁路口岸通关及作业效率。进一步提升深港陆路运输效率和通行能力。</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增强海运物流服务稳外贸功能。各地方、商协会组织中小微外贸企业加大与国际班轮公司对接力度，进一步推动扩大班轮公司直客对接的业务规模。各地方协调帮助物流、货代等企业及时赴港口提离冷藏货物、危险货物等集装箱，提升主要港口的货物中转效率。</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加大进出口信贷支持。支持银行机构对于发展前景良好但暂时受困的外贸企业，不盲目惜贷、抽贷、断贷、压贷，根据风险管控要求和企业经营实际，满足企业合理资金需求。</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进一步加强对中小微外贸企业金融支持。各地方加强“政银企”对接，梳理一批急需资金的中小微外贸企业名单，开展“清单式”管理，按照市场化原则，予以重点支持。加大出口信用保险对中小微外贸企业的支持力度，在去年基础上进一步扩大对中小微外贸企业的承保覆盖面。优化中小微外贸企业承保和理赔条件，缩短理赔时间。鼓励银行机构按照市场化原则加大对外贸企业特别是中小微外贸企业的信贷支持力度。鼓励银行和保险机构深化出口信用保险保单融资合作，强化对中小微外贸企业的融资增信支持，增加信保保单融资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12</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《关于进一步发挥资本市场功能 支持受疫情影响严重地区和行业加快恢复发展的通知》（证监发〔2022〕46号）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采取有效手段，加大直接融资支持力度</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2022年业绩受疫情影响严重地区和行业申请首发上市的企业，在符合板块定位及发行上市条件的前提下，经中介机构核查情况属实且不对持续盈利能力或持续经营能力构成重大不利影响的，相关审核或注册工作正常推进。2022年年底前对受疫情影响严重地区和行业的上市公司再融资申请实施专人对接、即报即审、审过即发。</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受疫情影响严重地区和行业企业申请北交所上市、全国股转系统挂牌的，实施专人对接、即报即审、审过即发。受疫情影响严重地区和行业企业发行公司债券、资产证券化产品的，或者债券募集资金用于疫情防控相关领域或用于偿还疫情防控期间到期债券产品的，实施专人对接、即报即审。</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受疫情影响严重地区和行业上市公司发行股份购买资产申请适用“小额快速”审核机制，在计算交易金额时不再适用最近12个月内累计计算的要求。发行股份购买资产同时募集配套资金的，放宽募集配套资金用于补充流动资金、偿还债务的比例限制。</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）加快公募基金产品特别是权益类基金、抗疫主题基金等产品的审核进度。对受疫情影响严重地区和行业企业相关基金产品的行政许可事项，依法依规给予支持。</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实施延期展期政策，体现监管弹性</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受疫情影响严重地区和行业发行人的反馈意见、审核问询回复时限可以延长3个月，告知函回复时限可以延长1个月。对受疫情影响严重地区和行业企业申报发行公司债券和资产证券化产品的，暂缓计算审核阶段反馈意见回复时限、中止时限3个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受疫情影响严重地区和行业的上市公司并购重组项目确实不能按期更新财务资料或发出股东大会通知的，可以在充分披露疫情对本次重组的具体影响后，申请财务资料有效期延长或股东大会通知时间延期1个月，最多可以延期3次。</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）受疫情影响严重地区和行业的上市公司取得重大资产重组行政许可批文后，可以申请暂缓计算批文有效期，暂缓计算期限最长不超过12个月。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）支持受疫情影响严重地区的私募基金备案，适当延长管理人首支私募基金备案和信息报送时限，适当放宽私募基金登记备案材料签章要求和部分工商材料要求。</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优化监管工作安排，传递监管温度</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）对受疫情影响严重地区和行业的公开发行证券并上市的企业，2022年上市当年因受疫情影响业绩大幅下滑的，对发行人和相关保荐机构给予适当监管包容。</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沪深证券交易所免收上市公司2022年度上市初费、上市年费和股东大会网络投票服务费。北交所免收上市公司2022年上市年费。全国股转公司免收相关地区挂牌公司2022年挂牌初费和年费。中国结算免收相关发行人2022年登记结算费用。各期货交易所减收相关期货经营机构手续费、减免席位费。支持各协会通过免收减收会费、延期交纳会费、免费培训等方式，加大会员服务力度。</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发挥行业机构作用，助力抗疫和复工复产</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鼓励证券公司积极发挥融资中介职能，支持受疫情影响严重地区和行业开展股权融资和债券融资。引导证券公司与股权质押到期还款困难的客户，协商展期3至6个月。对于因疫情防控实施隔离或者接受救治的融资融券客户，尽量减少强制平仓，柔性处理。</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）支持公募基金管理公司践行长期投资、价值投资、责任投资理念，积极以自有资金申购旗下基金产品，积极发挥专业投资者作用，引导更多社会资金流向抗疫相关企业。</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）鼓励证券公司设立私募资产管理产品，通过私募基金子公司按照市场化、法治化原则设立私募基金产品，对接相关企业融资需求，降低融资成本。</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发挥期货市场作用，发挥期货避险功能，助力受疫情影响严重地区和行业企业风险管理。抓好产业客户培育活动，稳步扩展“期货稳价订单”至沥青、低硫燃料油等能化期货品种。对于在疫情期间服务受疫情影响严重地区和行业的中小微企业表现突出的期货公司，在分类评价中予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13</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《小微企业、个体工商户税费优惠政策指引》</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为深入落实党中央、国务院实施新的组合式税费支持政策的决策部署，更加便利小微企业和个体工商户及时了解适用税费优惠政策，税务总局针对小微企业和个体工商户的税费优惠政策进行了梳理，按照享受主体、优惠内容、享受条件、政策依据的编写体例，从减负担、促融资、助创业三个方面，梳理形成了涵盖39项针对小微企业和个体工商户的税费优惠政策指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14</w:t>
            </w:r>
          </w:p>
        </w:tc>
        <w:tc>
          <w:tcPr>
            <w:tcW w:w="2463"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《2022年新的组合式税费支持政策指引》</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为了方便市场主体及时了解适用税费支持政策，税务总局对新出台的和延续实施的有关政策进行了梳理，按照享受主体、优惠内容、享受条件、政策依据的编写体例，形成了涵盖33项内容的新的组合式税费支持政策指引，后续将根据新出台税费政策情况持续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15</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《财政部 税务总局关于进一步持续加快增值税期末留抵退税政策实施进度的公告》（财政部 税务总局公告2022年第19号）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提前退还大型企业存量留抵税额，将《财政部 税务总局关于进一步加大增值税期末留抵退税政策实施力度的公告》（财政部 税务总局公告2022年第14号，以下称2022年第14号公告）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在纳税人自愿申请的基础上，集中退还大型企业存量留抵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16</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《交通运输部办公厅关于进一步抓实抓细道路客运及城市客运领域新冠肺炎疫情防控有关工作的通知》（交运明电〔2022〕160号）</w:t>
            </w:r>
          </w:p>
        </w:tc>
        <w:tc>
          <w:tcPr>
            <w:tcW w:w="5851" w:type="dxa"/>
            <w:vAlign w:val="center"/>
          </w:tcPr>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各地交通运输主管部门要加强与发展改革、财政、人力资源社会保障、银保监等部门的沟通对接，保障道路客运和城市客运经营者、客运场站经营者充分享受国家既有财税、金融、保险等纾困解难政策。要积极争取属地人民政府为经营者提供防疫物资或资金补助，将一线从业人员纳入免费核酸检测范围，及时拨付应急运输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17</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《人力资源社会保障部 财政部 国家税务总局关于做好失业保险稳岗位提技能防失业工作的通知》（人社部发〔2022〕23号）</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继续实施失业保险稳岗返还政策。参保企业上年度未裁员或裁员率不高于上年度全国城镇调查失业率控制目标，30人（含）以下的参保企业裁员率不高于参保职工总数20%的，可以申请失业保险稳岗返还。大型企业仍按不超过企业及其职工上年度实际缴纳失业保险费的30%返还，中小微企业返还比例从60%最高提至90%。社会团体、基金会、社会服务机构、律师事务所、会计师事务所、以单位形式参保的个体工商户参照实施。实施上述稳岗返还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拓宽技能提升补贴受益范围。领取失业保险金人员取得职业资格证书或职业技能等级证书的，可按照初级（五级）不超过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继续实施职业培训补贴政策。对领取失业保险金期间接受职业培训的失业人员，按规定发放职业培训补贴。</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继续实施东部7省（市）扩大失业保险基金支出范围试点政策。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发放一次性留工培训补助。2022年1月1日至12月31日，累计出现1个（含）以上中高风险疫情地区的市（地、州、盟）、县（市、区、旗），可对因新冠肺炎疫情严重影响暂时无法正常生产经营的中小微企业，按每名参保职工不超过500元的标准发放一次性留工培训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保险稳岗返还。实施上述政策的统筹地区，上年度失业保险基金滚存结余备付期限应在2年以上。上述政策执行期限至2022年12月31日。具体办法由各省（自治区、直辖市）制定。</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lang w:eastAsia="zh-CN"/>
              </w:rPr>
              <w:t>大力支持职业技能培训。上年度失业保险基金滚存结余备付期限在2年以上，并且职业技能提升行动专账资金不足的统筹地区，在各项保生活稳岗位政策落实到位的基础上，根据本地实际，可提取累计结余4%左右的失业保险基金至职业技能提升行动专账资金中，统筹用于职业技能培训。该项政策的提取期限至2022年12月31日。具体办法由各省（自治区、直辖市）制定，并报人力资源社会保障部、财政部备案。</w:t>
            </w:r>
          </w:p>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lang w:eastAsia="zh-CN"/>
              </w:rPr>
              <w:t>实施降费率和缓缴社会保险费政策。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本养老保险的个体工商户和各类灵活就业人员，2022年缴纳养老保险费有困难的，可自愿暂缓缴费至2023年底前补缴。</w:t>
            </w:r>
          </w:p>
          <w:p>
            <w:pPr>
              <w:spacing w:line="240" w:lineRule="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lang w:eastAsia="zh-CN"/>
              </w:rPr>
              <w:t>保障失业人员基本生活。继续实施失业保险保障扩围政策，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18</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住房和城乡建设部办公厅 国家邮政局办公室关于做好疫情防控期间寄递服务保障工作的通知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建办城函〔2022〕181号</w:t>
            </w:r>
            <w:r>
              <w:rPr>
                <w:rFonts w:hint="eastAsia" w:ascii="仿宋_GB2312" w:hAnsi="仿宋_GB2312" w:eastAsia="仿宋_GB2312" w:cs="仿宋_GB2312"/>
                <w:highlight w:val="none"/>
                <w:lang w:eastAsia="zh-CN"/>
              </w:rPr>
              <w:t>）</w:t>
            </w:r>
          </w:p>
        </w:tc>
        <w:tc>
          <w:tcPr>
            <w:tcW w:w="5851"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鼓励有条件地区为邮政快递从业人员提供定期免费核酸和抗原检测。</w:t>
            </w:r>
          </w:p>
          <w:p>
            <w:pPr>
              <w:spacing w:line="240" w:lineRule="auto"/>
              <w:rPr>
                <w:rFonts w:hint="eastAsia" w:eastAsia="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19</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国家发展改革委等部门关于做好2022年降成本重点工作的通知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发改运行〔2022〕672号</w:t>
            </w:r>
            <w:r>
              <w:rPr>
                <w:rFonts w:hint="eastAsia" w:ascii="仿宋_GB2312" w:hAnsi="仿宋_GB2312" w:eastAsia="仿宋_GB2312" w:cs="仿宋_GB2312"/>
                <w:highlight w:val="none"/>
                <w:lang w:eastAsia="zh-CN"/>
              </w:rPr>
              <w:t>）</w:t>
            </w: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实施新的组合式税费支持政策</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进一步清理规范涉企收费。清理转供电环节不合理加价，支持地方对特殊困难行业用电实行阶段性优惠政策。进一步清理规范行业协会商会、中介机构等收费。开展涉企违规收费专项整治行动，建立协同治理和联合惩戒机制，坚决查处乱收费、乱罚款、乱摊派。</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加强金融对实体经济的有效支持</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营造良好的货币金融环境。扩大新增贷款规模，保持货币供应量和社会融资规模增速与名义经济增速基本匹配，保持宏观杠杆率基本稳定。保持人民币汇率在合理均衡水平上的基本稳定。持续释放贷款市场报价利率（LPR）改革潜力，推动金融机构将LPR下行效果充分传导至贷款利率，促进企业综合融资成本稳中有降。</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引导资金更多流向重点领域和薄弱环节。保持普惠性再贷款、再贴现政策稳定性，继续对涉农、小微企业、民营企业提供普惠性、持续性的资金支持。用好普惠小微贷款支持工具，增加支农支小再贷款，优化监管考核，推动普惠小微贷款明显增长、信用贷款和首贷户比重继续提升。引导金融机构准确把握信贷政策，继续对受疫情影响严重的行业企业给予融资支持，避免出现行业性限贷、抽贷、断贷。积极推动碳减排支持工具和支持煤炭清洁高效利用专项再贷款落地见效。</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）建立健全多层次资本市场。完善民营企业债券融资支持机制，全面实行股票发行注册制，促进资本市场平稳健康发展。</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提升企业融资便利度。推进涉企信用信息整合共享，加快税务、海关、电力等单位与金融机构信息联通，扩大政府性融资担保对小微企业的覆盖面。持续优化应收账款融资服务，深化供应链融资改革，提升企业动产和权利融资便利度。加强银行服务市场调节价管理，鼓励对小微企业、个体工商户实施差异化定价和服务优惠。</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降低企业用地房租原材料成本</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降低房屋租金成本。2022年被列为疫情中高风险地区所在的县级行政区域内的服务业小微企业和个体工商户承租国有房屋，2022年减免6个月租金，其他地区减免3个月租金。各地可统筹各类资金，对承租非国有房屋的服务业小微企业和个体工商户给予适当帮扶。鼓励非国有房屋租赁主体在平等协商的基础上合理分担疫情带来的损失。</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lang w:eastAsia="zh-CN"/>
              </w:rPr>
              <w:t>进物流提质增效降本</w:t>
            </w:r>
            <w:r>
              <w:rPr>
                <w:rFonts w:hint="eastAsia" w:ascii="仿宋_GB2312" w:hAnsi="仿宋_GB2312" w:eastAsia="仿宋_GB2312" w:cs="仿宋_GB2312"/>
                <w:highlight w:val="none"/>
                <w:lang w:eastAsia="zh-CN"/>
              </w:rPr>
              <w:br w:type="textWrapping"/>
            </w:r>
            <w:r>
              <w:rPr>
                <w:rFonts w:hint="eastAsia" w:ascii="仿宋_GB2312" w:hAnsi="仿宋_GB2312" w:eastAsia="仿宋_GB2312" w:cs="仿宋_GB2312"/>
                <w:highlight w:val="none"/>
                <w:lang w:eastAsia="zh-CN"/>
              </w:rPr>
              <w:t>规范降低物流收费。深化高速公路差异化收费。严格落实鲜活农产品运输“绿色通道”政策，对整车合法装载运输全国统一《鲜活农产品品种目录》内产品的车辆，免收车辆通行费。减并港口收费项目，定向降低沿海港口引航费，完善拖轮费收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w:t>
            </w:r>
          </w:p>
        </w:tc>
        <w:tc>
          <w:tcPr>
            <w:tcW w:w="2463" w:type="dxa"/>
            <w:vAlign w:val="center"/>
          </w:tcPr>
          <w:p>
            <w:pPr>
              <w:spacing w:line="240" w:lineRule="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财政部 税务总局关于快递收派服务免征增值税政策的公告</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财政部 税务总局公告2022年第18号</w:t>
            </w:r>
            <w:r>
              <w:rPr>
                <w:rFonts w:hint="eastAsia" w:ascii="仿宋_GB2312" w:hAnsi="仿宋_GB2312" w:eastAsia="仿宋_GB2312" w:cs="仿宋_GB2312"/>
                <w:highlight w:val="none"/>
                <w:lang w:eastAsia="zh-CN"/>
              </w:rPr>
              <w:t>）</w:t>
            </w: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自2022年5月1日至2022年12月31日，对纳税人为居民提供必需生活物资快递收派服务取得的收入，免征增值税。</w:t>
            </w:r>
          </w:p>
          <w:p>
            <w:pPr>
              <w:spacing w:line="240" w:lineRule="auto"/>
              <w:rPr>
                <w:rFonts w:hint="eastAsia"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21</w:t>
            </w:r>
          </w:p>
        </w:tc>
        <w:tc>
          <w:tcPr>
            <w:tcW w:w="2463"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国务院办公厅关于进一步释放消费潜力促进消费持续恢复的意见</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国办发〔2022〕9号</w:t>
            </w:r>
            <w:r>
              <w:rPr>
                <w:rFonts w:hint="eastAsia" w:ascii="仿宋_GB2312" w:hAnsi="仿宋_GB2312" w:eastAsia="仿宋_GB2312" w:cs="仿宋_GB2312"/>
                <w:highlight w:val="none"/>
                <w:lang w:eastAsia="zh-CN"/>
              </w:rPr>
              <w:t>）</w:t>
            </w: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围绕保市场主体加大助企纾困力度。深入落实扶持制造业、小微企业和个体工商户的减税退税降费政策。推动金融系统通过降低利率、减少收费等多种措施，向实体经济让利。引导金融机构优化信贷管理，对受疫情影响严重的行业企业给予融资支持，避免出现行业性限贷、抽贷、断贷。延续执行阶段性降低失业保险、工伤保险费率政策。对不裁员少裁员的企业，实施好失业保险稳岗返还政策。清理转供电环节不合理加价。采取切实有效措施制止乱收费、乱摊派、乱罚款行为。落实好餐饮、零售、旅游、民航、公路水路铁路运输等特困行业纾困扶持措施。鼓励地方加大帮扶力度，支持各地区结合实际依法出台税费减免等措施，对特困行业实行用电阶段性优惠、暂缓缴纳养老保险费等政策，对承租非国有房屋的服务业小微企业和个体工商户给予适当帮扶，稳住更多消费服务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 w:eastAsia="仿宋_GB2312"/>
                <w:bCs/>
                <w:color w:val="000000"/>
                <w:szCs w:val="21"/>
                <w:highlight w:val="none"/>
                <w:lang w:val="en-US" w:eastAsia="zh-CN"/>
              </w:rPr>
              <w:t>22</w:t>
            </w:r>
          </w:p>
        </w:tc>
        <w:tc>
          <w:tcPr>
            <w:tcW w:w="2463"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《关于进一步加快增值税期末留抵退税政策实施进度的公告》(财政部 税务总局公告2022年第17号)</w:t>
            </w:r>
          </w:p>
          <w:p>
            <w:pPr>
              <w:spacing w:line="240" w:lineRule="auto"/>
              <w:rPr>
                <w:rFonts w:ascii="仿宋_GB2312" w:hAnsi="仿宋_GB2312" w:eastAsia="仿宋_GB2312" w:cs="仿宋_GB2312"/>
                <w:highlight w:val="none"/>
              </w:rPr>
            </w:pP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r>
              <w:rPr>
                <w:rFonts w:hint="eastAsia"/>
                <w:highlight w:val="none"/>
              </w:rPr>
              <w:t xml:space="preserve"> </w:t>
            </w:r>
            <w:r>
              <w:rPr>
                <w:rFonts w:hint="eastAsia" w:ascii="仿宋_GB2312" w:hAnsi="仿宋_GB2312" w:eastAsia="仿宋_GB2312" w:cs="仿宋_GB2312"/>
                <w:highlight w:val="none"/>
              </w:rPr>
              <w:t xml:space="preserve">加快小微企业留抵退税政策实施进度，按照《财政部 税务总局关于进一步加大增值税期末留抵退税政策实施力度的公告》（财政部 税务总局公告2022年第14号，以下称2022年第14号公告）规定，抓紧办理小微企业留抵退税，在纳税人自愿申请的基础上，加快退税进度，积极落实微型企业、小型企业存量留抵税额分别于2022年4月30日前、6月30日前集中退还的退税政策。 </w:t>
            </w:r>
          </w:p>
          <w:p>
            <w:pPr>
              <w:spacing w:line="240" w:lineRule="auto"/>
              <w:rPr>
                <w:rFonts w:ascii="仿宋_GB2312" w:hAnsi="仿宋_GB2312" w:eastAsia="仿宋_GB2312" w:cs="仿宋_GB2312"/>
                <w:highlight w:val="none"/>
              </w:rPr>
            </w:pPr>
            <w:r>
              <w:rPr>
                <w:rFonts w:hint="eastAsia" w:ascii="仿宋_GB2312" w:hAnsi="仿宋_GB2312" w:eastAsia="仿宋_GB2312" w:cs="仿宋_GB2312"/>
                <w:highlight w:val="none"/>
              </w:rPr>
              <w:t>2</w:t>
            </w:r>
            <w:r>
              <w:rPr>
                <w:rFonts w:ascii="仿宋_GB2312" w:hAnsi="仿宋_GB2312" w:eastAsia="仿宋_GB2312" w:cs="仿宋_GB2312"/>
                <w:highlight w:val="none"/>
              </w:rPr>
              <w:t xml:space="preserve">. </w:t>
            </w:r>
            <w:r>
              <w:rPr>
                <w:rFonts w:hint="eastAsia" w:ascii="仿宋_GB2312" w:hAnsi="仿宋_GB2312" w:eastAsia="仿宋_GB2312" w:cs="仿宋_GB2312"/>
                <w:highlight w:val="none"/>
              </w:rPr>
              <w:t>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请的基础上，集中退还中型企业存量留抵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vAlign w:val="center"/>
          </w:tcPr>
          <w:p>
            <w:pPr>
              <w:spacing w:line="240" w:lineRule="auto"/>
              <w:jc w:val="center"/>
              <w:rPr>
                <w:rFonts w:hint="default" w:ascii="仿宋_GB2312" w:hAnsi="仿宋" w:eastAsia="仿宋_GB2312"/>
                <w:bCs/>
                <w:color w:val="000000"/>
                <w:szCs w:val="21"/>
                <w:highlight w:val="none"/>
                <w:lang w:val="en-US" w:eastAsia="zh-CN"/>
              </w:rPr>
            </w:pPr>
            <w:r>
              <w:rPr>
                <w:rFonts w:hint="eastAsia" w:ascii="仿宋_GB2312" w:hAnsi="仿宋" w:eastAsia="仿宋_GB2312"/>
                <w:bCs/>
                <w:color w:val="000000"/>
                <w:szCs w:val="21"/>
                <w:highlight w:val="none"/>
                <w:lang w:val="en-US" w:eastAsia="zh-CN"/>
              </w:rPr>
              <w:t>23</w:t>
            </w:r>
          </w:p>
        </w:tc>
        <w:tc>
          <w:tcPr>
            <w:tcW w:w="2463"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《税务总局等十部门关于进一步加大出口退税支持力度 促进外贸平稳发展的通知》（税总货劳发〔2022〕36号）</w:t>
            </w:r>
          </w:p>
        </w:tc>
        <w:tc>
          <w:tcPr>
            <w:tcW w:w="5851" w:type="dxa"/>
            <w:vAlign w:val="center"/>
          </w:tcPr>
          <w:p>
            <w:pPr>
              <w:spacing w:line="240" w:lineRule="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进一步提高出口货物退运通关效率。深化海关、税务部门合作，积极推动《出口货物已补税/未退税证明》信息共享，在办理出口货物退运通关时，凡可查验信息的，不再要求企业报送纸质证明，改为查验共享信息，帮助企业加速办理退运通关。</w:t>
            </w:r>
          </w:p>
        </w:tc>
      </w:tr>
    </w:tbl>
    <w:p>
      <w:pPr>
        <w:rPr>
          <w:rFonts w:ascii="宋体" w:hAnsi="宋体" w:cs="宋体"/>
          <w:sz w:val="28"/>
          <w:szCs w:val="28"/>
        </w:rPr>
      </w:pPr>
    </w:p>
    <w:p>
      <w:pPr>
        <w:rPr>
          <w:color w:val="333333"/>
        </w:rPr>
      </w:pPr>
      <w:r>
        <w:rPr>
          <w:color w:val="333333"/>
        </w:rPr>
        <w:br w:type="page"/>
      </w: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2022年以来涉交通运输业国家主要财税金融</w:t>
      </w: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优惠政策目录清单</w:t>
      </w: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w:t>
      </w:r>
      <w:r>
        <w:rPr>
          <w:rFonts w:ascii="方正小标宋_GBK" w:hAnsi="方正小标宋_GBK" w:eastAsia="方正小标宋_GBK" w:cs="方正小标宋_GBK"/>
          <w:bCs/>
          <w:color w:val="000000"/>
          <w:sz w:val="36"/>
          <w:szCs w:val="44"/>
        </w:rPr>
        <w:t>2</w:t>
      </w:r>
      <w:r>
        <w:rPr>
          <w:rFonts w:hint="eastAsia" w:ascii="方正小标宋_GBK" w:hAnsi="方正小标宋_GBK" w:eastAsia="方正小标宋_GBK" w:cs="方正小标宋_GBK"/>
          <w:bCs/>
          <w:color w:val="000000"/>
          <w:sz w:val="36"/>
          <w:szCs w:val="44"/>
        </w:rPr>
        <w:t>）</w:t>
      </w:r>
    </w:p>
    <w:p>
      <w:pPr>
        <w:spacing w:line="360" w:lineRule="auto"/>
        <w:rPr>
          <w:rFonts w:hint="eastAsia" w:ascii="黑体" w:hAnsi="黑体" w:eastAsia="黑体" w:cs="方正小标宋_GBK"/>
          <w:bCs/>
          <w:color w:val="000000"/>
          <w:sz w:val="30"/>
          <w:szCs w:val="44"/>
        </w:rPr>
      </w:pPr>
      <w:r>
        <w:rPr>
          <w:rFonts w:hint="eastAsia" w:ascii="黑体" w:hAnsi="黑体" w:eastAsia="黑体" w:cs="方正小标宋_GBK"/>
          <w:bCs/>
          <w:color w:val="000000"/>
          <w:sz w:val="30"/>
          <w:szCs w:val="44"/>
        </w:rPr>
        <w:t xml:space="preserve">财务审计司编发                     </w:t>
      </w:r>
      <w:r>
        <w:rPr>
          <w:rFonts w:ascii="黑体" w:hAnsi="黑体" w:eastAsia="黑体" w:cs="方正小标宋_GBK"/>
          <w:bCs/>
          <w:color w:val="000000"/>
          <w:sz w:val="30"/>
          <w:szCs w:val="44"/>
        </w:rPr>
        <w:t>3</w:t>
      </w:r>
      <w:r>
        <w:rPr>
          <w:rFonts w:hint="eastAsia" w:ascii="黑体" w:hAnsi="黑体" w:eastAsia="黑体" w:cs="方正小标宋_GBK"/>
          <w:bCs/>
          <w:color w:val="000000"/>
          <w:sz w:val="30"/>
          <w:szCs w:val="44"/>
        </w:rPr>
        <w:t>月</w:t>
      </w:r>
      <w:r>
        <w:rPr>
          <w:rFonts w:ascii="黑体" w:hAnsi="黑体" w:eastAsia="黑体" w:cs="方正小标宋_GBK"/>
          <w:bCs/>
          <w:color w:val="000000"/>
          <w:sz w:val="30"/>
          <w:szCs w:val="44"/>
        </w:rPr>
        <w:t>2</w:t>
      </w:r>
      <w:r>
        <w:rPr>
          <w:rFonts w:hint="eastAsia" w:ascii="黑体" w:hAnsi="黑体" w:eastAsia="黑体" w:cs="方正小标宋_GBK"/>
          <w:bCs/>
          <w:color w:val="000000"/>
          <w:sz w:val="30"/>
          <w:szCs w:val="44"/>
          <w:lang w:val="en-US" w:eastAsia="zh-CN"/>
        </w:rPr>
        <w:t>6</w:t>
      </w:r>
      <w:r>
        <w:rPr>
          <w:rFonts w:hint="eastAsia" w:ascii="黑体" w:hAnsi="黑体" w:eastAsia="黑体" w:cs="方正小标宋_GBK"/>
          <w:bCs/>
          <w:color w:val="000000"/>
          <w:sz w:val="30"/>
          <w:szCs w:val="44"/>
        </w:rPr>
        <w:t>日至</w:t>
      </w:r>
      <w:r>
        <w:rPr>
          <w:rFonts w:ascii="黑体" w:hAnsi="黑体" w:eastAsia="黑体" w:cs="方正小标宋_GBK"/>
          <w:bCs/>
          <w:color w:val="000000"/>
          <w:sz w:val="30"/>
          <w:szCs w:val="44"/>
        </w:rPr>
        <w:t>4</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20</w:t>
      </w:r>
      <w:r>
        <w:rPr>
          <w:rFonts w:hint="eastAsia" w:ascii="黑体" w:hAnsi="黑体" w:eastAsia="黑体" w:cs="方正小标宋_GBK"/>
          <w:bCs/>
          <w:color w:val="000000"/>
          <w:sz w:val="30"/>
          <w:szCs w:val="44"/>
        </w:rPr>
        <w:t>日</w:t>
      </w:r>
    </w:p>
    <w:tbl>
      <w:tblPr>
        <w:tblStyle w:val="15"/>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63"/>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blHeader/>
          <w:jc w:val="center"/>
        </w:trPr>
        <w:tc>
          <w:tcPr>
            <w:tcW w:w="710" w:type="dxa"/>
            <w:noWrap w:val="0"/>
            <w:vAlign w:val="center"/>
          </w:tcPr>
          <w:p>
            <w:pPr>
              <w:spacing w:line="240" w:lineRule="auto"/>
              <w:jc w:val="center"/>
              <w:rPr>
                <w:rFonts w:hint="eastAsia" w:ascii="仿宋_GB2312" w:hAnsi="仿宋" w:eastAsia="仿宋_GB2312"/>
                <w:b/>
                <w:color w:val="000000"/>
                <w:szCs w:val="21"/>
              </w:rPr>
            </w:pPr>
            <w:r>
              <w:rPr>
                <w:rFonts w:hint="eastAsia" w:ascii="仿宋_GB2312" w:hAnsi="仿宋" w:eastAsia="仿宋_GB2312"/>
                <w:b/>
                <w:color w:val="000000"/>
                <w:szCs w:val="21"/>
              </w:rPr>
              <w:t>序号</w:t>
            </w:r>
          </w:p>
        </w:tc>
        <w:tc>
          <w:tcPr>
            <w:tcW w:w="2463" w:type="dxa"/>
            <w:noWrap w:val="0"/>
            <w:vAlign w:val="center"/>
          </w:tcPr>
          <w:p>
            <w:pPr>
              <w:spacing w:line="240" w:lineRule="auto"/>
              <w:jc w:val="center"/>
              <w:rPr>
                <w:rFonts w:hint="eastAsia" w:ascii="仿宋_GB2312" w:hAnsi="仿宋" w:eastAsia="仿宋_GB2312"/>
                <w:b/>
                <w:color w:val="000000"/>
                <w:szCs w:val="21"/>
              </w:rPr>
            </w:pPr>
            <w:r>
              <w:rPr>
                <w:rFonts w:hint="eastAsia" w:ascii="仿宋_GB2312" w:hAnsi="仿宋" w:eastAsia="仿宋_GB2312"/>
                <w:b/>
                <w:color w:val="000000"/>
                <w:szCs w:val="21"/>
              </w:rPr>
              <w:t>政策文件</w:t>
            </w:r>
          </w:p>
        </w:tc>
        <w:tc>
          <w:tcPr>
            <w:tcW w:w="5851" w:type="dxa"/>
            <w:noWrap w:val="0"/>
            <w:vAlign w:val="center"/>
          </w:tcPr>
          <w:p>
            <w:pPr>
              <w:spacing w:line="240" w:lineRule="auto"/>
              <w:jc w:val="center"/>
              <w:rPr>
                <w:rFonts w:hint="eastAsia" w:ascii="仿宋_GB2312" w:hAnsi="仿宋" w:eastAsia="仿宋_GB2312"/>
                <w:b/>
                <w:color w:val="000000"/>
                <w:szCs w:val="21"/>
              </w:rPr>
            </w:pPr>
            <w:r>
              <w:rPr>
                <w:rFonts w:hint="eastAsia" w:ascii="仿宋_GB2312" w:hAnsi="仿宋" w:eastAsia="仿宋_GB2312"/>
                <w:b/>
                <w:color w:val="000000"/>
                <w:szCs w:val="21"/>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 w:eastAsia="仿宋_GB2312"/>
                <w:bCs/>
                <w:color w:val="000000"/>
                <w:szCs w:val="21"/>
                <w:lang w:val="en-US" w:eastAsia="zh-CN"/>
              </w:rPr>
              <w:t>1</w:t>
            </w:r>
          </w:p>
        </w:tc>
        <w:tc>
          <w:tcPr>
            <w:tcW w:w="2463"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《关于对增值税小规模纳税人免征增值税的公告》（财政部 税务总局公告2022年第15号）</w:t>
            </w:r>
          </w:p>
        </w:tc>
        <w:tc>
          <w:tcPr>
            <w:tcW w:w="5851" w:type="dxa"/>
            <w:noWrap w:val="0"/>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1.自2022年4月1日至2022年12月31日，增值税小规模纳税人适用3%征收率的应税销售收入，免征增值税；适用3%预征率的预缴增值税项目，暂停预缴增值税。 </w:t>
            </w:r>
          </w:p>
          <w:p>
            <w:pPr>
              <w:spacing w:line="240" w:lineRule="auto"/>
              <w:rPr>
                <w:rFonts w:hint="eastAsia" w:ascii="仿宋_GB2312" w:hAnsi="仿宋_GB2312" w:eastAsia="仿宋_GB2312" w:cs="仿宋_GB2312"/>
                <w:kern w:val="2"/>
                <w:sz w:val="21"/>
                <w:szCs w:val="24"/>
                <w:lang w:val="en-US" w:eastAsia="zh-CN" w:bidi="ar-SA"/>
              </w:rPr>
            </w:pPr>
            <w:r>
              <w:rPr>
                <w:rFonts w:ascii="仿宋_GB2312" w:hAnsi="仿宋_GB2312" w:eastAsia="仿宋_GB2312" w:cs="仿宋_GB2312"/>
              </w:rPr>
              <w:t>2</w:t>
            </w:r>
            <w:r>
              <w:rPr>
                <w:rFonts w:hint="eastAsia" w:ascii="仿宋_GB2312" w:hAnsi="仿宋_GB2312" w:eastAsia="仿宋_GB2312" w:cs="仿宋_GB2312"/>
              </w:rPr>
              <w:t>.《财政部 税务总局关于延续实施应对疫情部分税费优惠政策的公告》（财政部 税务总局公告2021年第7号）第一条规定的税收优惠政策，执行期限延长至2022年3月31日。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eastAsia" w:ascii="仿宋_GB2312" w:hAnsi="仿宋" w:eastAsia="仿宋_GB2312"/>
                <w:bCs/>
                <w:color w:val="000000"/>
                <w:kern w:val="2"/>
                <w:sz w:val="21"/>
                <w:szCs w:val="21"/>
                <w:lang w:val="en-US" w:eastAsia="zh-CN" w:bidi="ar-SA"/>
              </w:rPr>
            </w:pPr>
            <w:r>
              <w:rPr>
                <w:rFonts w:hint="eastAsia" w:ascii="仿宋_GB2312" w:hAnsi="仿宋" w:eastAsia="仿宋_GB2312"/>
                <w:bCs/>
                <w:color w:val="000000"/>
                <w:szCs w:val="21"/>
                <w:lang w:val="en-US" w:eastAsia="zh-CN"/>
              </w:rPr>
              <w:t>2</w:t>
            </w:r>
          </w:p>
        </w:tc>
        <w:tc>
          <w:tcPr>
            <w:tcW w:w="2463"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《国家税务总局关于小规模纳税人免征增值税等征收管理事项的公告》（国家税务总局公告2022年第6号）</w:t>
            </w:r>
          </w:p>
        </w:tc>
        <w:tc>
          <w:tcPr>
            <w:tcW w:w="5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_GB2312" w:eastAsia="仿宋_GB2312" w:cs="仿宋_GB2312"/>
              </w:rPr>
            </w:pPr>
            <w:r>
              <w:rPr>
                <w:rFonts w:hint="eastAsia" w:ascii="仿宋_GB2312" w:hAnsi="仿宋_GB2312" w:eastAsia="仿宋_GB2312" w:cs="仿宋_GB2312"/>
              </w:rPr>
              <w:t>1.增值税小规模纳税人适用3%征收率应税销售收入免征增值税的，应按规定开具免税普通发票。纳税人选择放弃免税并开具增值税专用发票的，应开具征收率为3%的增值税专用发票。</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2.增值税小规模纳税人发生增值税应税销售行为，合计月销售额未超过15万元（以1个季度为1个纳税期的，季度销售额未超过45万元，下同）的，免征增值税的销售额等项目应当填写在《增值税及附加税费申报表（小规模纳税人适用）》“小微企业免税销售额”或者“未达起征点销售额”相关栏次。</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rPr>
              <w:t>合计月销售额超过15万元的，免征增值税的全部销售额等项目应当填写在《增值税及附加税费申报表（小规模纳税人适用）》“其他免税销售额”栏次及《增值税减免税申报明细表》对应栏次。</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ascii="仿宋_GB2312" w:hAnsi="仿宋_GB2312" w:eastAsia="仿宋_GB2312" w:cs="仿宋_GB2312"/>
              </w:rPr>
            </w:pPr>
            <w:r>
              <w:rPr>
                <w:rFonts w:hint="eastAsia" w:ascii="仿宋_GB2312" w:hAnsi="仿宋_GB2312" w:eastAsia="仿宋_GB2312" w:cs="仿宋_GB2312"/>
              </w:rPr>
              <w:t>3.此前已按照《财政部</w:t>
            </w:r>
            <w:r>
              <w:rPr>
                <w:rFonts w:ascii="仿宋_GB2312" w:hAnsi="仿宋_GB2312" w:eastAsia="仿宋_GB2312" w:cs="仿宋_GB2312"/>
              </w:rPr>
              <w:t> </w:t>
            </w:r>
            <w:r>
              <w:rPr>
                <w:rFonts w:hint="eastAsia" w:ascii="仿宋_GB2312" w:hAnsi="仿宋_GB2312" w:eastAsia="仿宋_GB2312" w:cs="仿宋_GB2312"/>
              </w:rPr>
              <w:t>税务总局关于统一增值税小规模纳税人标准的通知》（财税〔</w:t>
            </w:r>
            <w:r>
              <w:rPr>
                <w:rFonts w:ascii="仿宋_GB2312" w:hAnsi="仿宋_GB2312" w:eastAsia="仿宋_GB2312" w:cs="仿宋_GB2312"/>
              </w:rPr>
              <w:t>2018</w:t>
            </w:r>
            <w:r>
              <w:rPr>
                <w:rFonts w:hint="eastAsia" w:ascii="仿宋_GB2312" w:hAnsi="仿宋_GB2312" w:eastAsia="仿宋_GB2312" w:cs="仿宋_GB2312"/>
              </w:rPr>
              <w:t>〕</w:t>
            </w:r>
            <w:r>
              <w:rPr>
                <w:rFonts w:ascii="仿宋_GB2312" w:hAnsi="仿宋_GB2312" w:eastAsia="仿宋_GB2312" w:cs="仿宋_GB2312"/>
              </w:rPr>
              <w:t>33</w:t>
            </w:r>
            <w:r>
              <w:rPr>
                <w:rFonts w:hint="eastAsia" w:ascii="仿宋_GB2312" w:hAnsi="仿宋_GB2312" w:eastAsia="仿宋_GB2312" w:cs="仿宋_GB2312"/>
              </w:rPr>
              <w:t>号）第二条、《国家税务总局关于小规模纳税人免征增值税政策有关征管问题的公告》（</w:t>
            </w:r>
            <w:r>
              <w:rPr>
                <w:rFonts w:ascii="仿宋_GB2312" w:hAnsi="仿宋_GB2312" w:eastAsia="仿宋_GB2312" w:cs="仿宋_GB2312"/>
              </w:rPr>
              <w:t>2019</w:t>
            </w:r>
            <w:r>
              <w:rPr>
                <w:rFonts w:hint="eastAsia" w:ascii="仿宋_GB2312" w:hAnsi="仿宋_GB2312" w:eastAsia="仿宋_GB2312" w:cs="仿宋_GB2312"/>
              </w:rPr>
              <w:t>年第</w:t>
            </w:r>
            <w:r>
              <w:rPr>
                <w:rFonts w:ascii="仿宋_GB2312" w:hAnsi="仿宋_GB2312" w:eastAsia="仿宋_GB2312" w:cs="仿宋_GB2312"/>
              </w:rPr>
              <w:t>4</w:t>
            </w:r>
            <w:r>
              <w:rPr>
                <w:rFonts w:hint="eastAsia" w:ascii="仿宋_GB2312" w:hAnsi="仿宋_GB2312" w:eastAsia="仿宋_GB2312" w:cs="仿宋_GB2312"/>
              </w:rPr>
              <w:t>号）第五条、《国家税务总局关于明确二手车经销等若干增值税征管问题的公告》（</w:t>
            </w:r>
            <w:r>
              <w:rPr>
                <w:rFonts w:ascii="仿宋_GB2312" w:hAnsi="仿宋_GB2312" w:eastAsia="仿宋_GB2312" w:cs="仿宋_GB2312"/>
              </w:rPr>
              <w:t>2020</w:t>
            </w:r>
            <w:r>
              <w:rPr>
                <w:rFonts w:hint="eastAsia" w:ascii="仿宋_GB2312" w:hAnsi="仿宋_GB2312" w:eastAsia="仿宋_GB2312" w:cs="仿宋_GB2312"/>
              </w:rPr>
              <w:t>年第</w:t>
            </w:r>
            <w:r>
              <w:rPr>
                <w:rFonts w:ascii="仿宋_GB2312" w:hAnsi="仿宋_GB2312" w:eastAsia="仿宋_GB2312" w:cs="仿宋_GB2312"/>
              </w:rPr>
              <w:t>9</w:t>
            </w:r>
            <w:r>
              <w:rPr>
                <w:rFonts w:hint="eastAsia" w:ascii="仿宋_GB2312" w:hAnsi="仿宋_GB2312" w:eastAsia="仿宋_GB2312" w:cs="仿宋_GB2312"/>
              </w:rPr>
              <w:t>号）第六条规定转登记的纳税人，根据《国家税务总局关于统一小规模纳税人标准等若干增值税问题的公告》（</w:t>
            </w:r>
            <w:r>
              <w:rPr>
                <w:rFonts w:ascii="仿宋_GB2312" w:hAnsi="仿宋_GB2312" w:eastAsia="仿宋_GB2312" w:cs="仿宋_GB2312"/>
              </w:rPr>
              <w:t>2018</w:t>
            </w:r>
            <w:r>
              <w:rPr>
                <w:rFonts w:hint="eastAsia" w:ascii="仿宋_GB2312" w:hAnsi="仿宋_GB2312" w:eastAsia="仿宋_GB2312" w:cs="仿宋_GB2312"/>
              </w:rPr>
              <w:t>年第</w:t>
            </w:r>
            <w:r>
              <w:rPr>
                <w:rFonts w:ascii="仿宋_GB2312" w:hAnsi="仿宋_GB2312" w:eastAsia="仿宋_GB2312" w:cs="仿宋_GB2312"/>
              </w:rPr>
              <w:t>18</w:t>
            </w:r>
            <w:r>
              <w:rPr>
                <w:rFonts w:hint="eastAsia" w:ascii="仿宋_GB2312" w:hAnsi="仿宋_GB2312" w:eastAsia="仿宋_GB2312" w:cs="仿宋_GB2312"/>
              </w:rPr>
              <w:t>号）相关规定计入“应交税费——待抵扣进项税额”科目核算、截至</w:t>
            </w:r>
            <w:r>
              <w:rPr>
                <w:rFonts w:ascii="仿宋_GB2312" w:hAnsi="仿宋_GB2312" w:eastAsia="仿宋_GB2312" w:cs="仿宋_GB2312"/>
              </w:rPr>
              <w:t>2022</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日的余额，在</w:t>
            </w:r>
            <w:r>
              <w:rPr>
                <w:rFonts w:ascii="仿宋_GB2312" w:hAnsi="仿宋_GB2312" w:eastAsia="仿宋_GB2312" w:cs="仿宋_GB2312"/>
              </w:rPr>
              <w:t>2022</w:t>
            </w:r>
            <w:r>
              <w:rPr>
                <w:rFonts w:hint="eastAsia" w:ascii="仿宋_GB2312" w:hAnsi="仿宋_GB2312" w:eastAsia="仿宋_GB2312" w:cs="仿宋_GB2312"/>
              </w:rPr>
              <w:t>年度可分别计入固定资产、无形资产、投资资产、存货等相关科目，按规定在企业所得税或个人所得税税前扣除，对此前已税前扣除的折旧、摊销不再调整；对无法划分的部分，在2022年度可一次性在企业所得税或个人所得税税前扣除。</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textAlignment w:val="auto"/>
              <w:rPr>
                <w:rFonts w:hint="eastAsia" w:ascii="仿宋_GB2312" w:hAnsi="仿宋_GB2312" w:eastAsia="仿宋_GB2312" w:cs="仿宋_GB2312"/>
                <w:kern w:val="2"/>
                <w:sz w:val="21"/>
                <w:szCs w:val="24"/>
                <w:lang w:val="en-US" w:eastAsia="zh-CN" w:bidi="ar-SA"/>
              </w:rPr>
            </w:pPr>
            <w:r>
              <w:rPr>
                <w:rFonts w:ascii="仿宋_GB2312" w:hAnsi="仿宋_GB2312" w:eastAsia="仿宋_GB2312" w:cs="仿宋_GB2312"/>
              </w:rPr>
              <w:t>4</w:t>
            </w:r>
            <w:r>
              <w:rPr>
                <w:rFonts w:hint="eastAsia" w:ascii="仿宋_GB2312" w:hAnsi="仿宋_GB2312" w:eastAsia="仿宋_GB2312" w:cs="仿宋_GB2312"/>
              </w:rPr>
              <w:t>.本公告自2022年4月1日起施行。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c>
          <w:tcPr>
            <w:tcW w:w="2463" w:type="dxa"/>
            <w:noWrap w:val="0"/>
            <w:vAlign w:val="center"/>
          </w:tcPr>
          <w:p>
            <w:pPr>
              <w:spacing w:line="240" w:lineRule="auto"/>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中国银保监会办公厅关于金融支持货运物流保通保畅工作的通知</w:t>
            </w:r>
            <w:r>
              <w:rPr>
                <w:rFonts w:hint="eastAsia" w:ascii="仿宋_GB2312" w:hAnsi="仿宋_GB2312" w:eastAsia="仿宋_GB2312" w:cs="仿宋_GB2312"/>
                <w:highlight w:val="none"/>
                <w:lang w:eastAsia="zh-CN"/>
              </w:rPr>
              <w:t>》（</w:t>
            </w:r>
          </w:p>
          <w:p>
            <w:pPr>
              <w:spacing w:line="240" w:lineRule="auto"/>
              <w:jc w:val="both"/>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银保监办发〔2022〕40号</w:t>
            </w:r>
            <w:r>
              <w:rPr>
                <w:rFonts w:hint="eastAsia" w:ascii="仿宋_GB2312" w:hAnsi="仿宋_GB2312" w:eastAsia="仿宋_GB2312" w:cs="仿宋_GB2312"/>
                <w:highlight w:val="none"/>
                <w:lang w:eastAsia="zh-CN"/>
              </w:rPr>
              <w:t>）</w:t>
            </w:r>
          </w:p>
          <w:p>
            <w:pPr>
              <w:spacing w:line="240" w:lineRule="auto"/>
              <w:jc w:val="both"/>
              <w:rPr>
                <w:rFonts w:hint="eastAsia" w:ascii="仿宋_GB2312" w:hAnsi="仿宋_GB2312" w:eastAsia="仿宋_GB2312" w:cs="仿宋_GB2312"/>
                <w:kern w:val="2"/>
                <w:sz w:val="21"/>
                <w:szCs w:val="24"/>
                <w:highlight w:val="none"/>
                <w:lang w:val="en-US" w:eastAsia="zh-CN" w:bidi="ar-SA"/>
              </w:rPr>
            </w:pPr>
          </w:p>
        </w:tc>
        <w:tc>
          <w:tcPr>
            <w:tcW w:w="5851" w:type="dxa"/>
            <w:noWrap w:val="0"/>
            <w:vAlign w:val="center"/>
          </w:tcPr>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加大资金支持。各银行机构要用好普惠小微贷款支持工具，将普惠型小微企业贷款适当向运输企业和个体工商户倾斜，主动跟进并有效满足其融资需求，做好延期还本付息政策到期后相关贷款的接续转换，避免出现行业性限贷、抽贷、断贷。</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帮扶重点群体。各银行保险机构要强化对货车司机群体的关怀和帮扶，根据实际情况及时提供便捷有效的综合金融服务。对于因疫情影响货车司机偿还汽车贷款暂时存在困难的，商业银行、汽车金融公司、企业集团财务公司、金融租赁公司等，均应视情合理给予延期、展期或续贷安排。灵活调整货车司机个人住房按揭、信用卡等信贷还款安排，合理延后还款期限，帮助其渡过难关。</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提升服务效率。鼓励银行保险机构按市场化原则优化审批流程，对承担疫情防控和应急运输任务较重的交通运输企业开辟绿色通道，提供灵活便捷服务。鼓励银行机构在综合考虑自身经营状况和客户还款能力基础上，降低实际贷款利率，适当减少收费。鼓励保险公司根据疫情防控实际情况，提高出险理赔效率，适度延后货运汽车保险等保费缴纳时间。</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创新担保方式。充分利用行业主管部门动态监控数据，鼓励银行机构创新符合陆路、水路运输企业特点的动产质押类贷款产品。鼓励政府性融资担保机构为符合条件的运输企业、货车司机提供融资增信支持，依法依约及时履行代偿责任。</w:t>
            </w:r>
          </w:p>
          <w:p>
            <w:pPr>
              <w:spacing w:line="240" w:lineRule="auto"/>
              <w:jc w:val="both"/>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加强保险保障。鼓励保险公司针对货车司机、快递员等特殊岗位工作人群特点，开发意外伤害保险等产品。积极发展货物运输保险、道路货物运输承运人责任保险等财险业务，为物流业提供风险保障。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w:t>
            </w:r>
          </w:p>
        </w:tc>
        <w:tc>
          <w:tcPr>
            <w:tcW w:w="2463" w:type="dxa"/>
            <w:noWrap w:val="0"/>
            <w:vAlign w:val="center"/>
          </w:tcPr>
          <w:p>
            <w:pPr>
              <w:spacing w:line="240" w:lineRule="auto"/>
              <w:jc w:val="both"/>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《中国银保监会 交通运输部关于银行业保险业支持公路交通高质量发展的意见》(银保监发〔2022〕8号)</w:t>
            </w:r>
          </w:p>
          <w:p>
            <w:pPr>
              <w:spacing w:line="240" w:lineRule="auto"/>
              <w:jc w:val="both"/>
              <w:rPr>
                <w:rFonts w:hint="eastAsia" w:ascii="仿宋_GB2312" w:hAnsi="仿宋_GB2312" w:eastAsia="仿宋_GB2312" w:cs="仿宋_GB2312"/>
                <w:highlight w:val="none"/>
                <w:lang w:eastAsia="zh-CN"/>
              </w:rPr>
            </w:pPr>
          </w:p>
        </w:tc>
        <w:tc>
          <w:tcPr>
            <w:tcW w:w="5851" w:type="dxa"/>
            <w:noWrap w:val="0"/>
            <w:vAlign w:val="center"/>
          </w:tcPr>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default" w:ascii="仿宋_GB2312" w:hAnsi="仿宋_GB2312" w:eastAsia="仿宋_GB2312" w:cs="仿宋_GB2312"/>
                <w:highlight w:val="none"/>
                <w:lang w:val="en-US" w:eastAsia="zh-CN"/>
              </w:rPr>
              <w:t>依法合规做好政府收费公路项目配套融资。</w:t>
            </w:r>
            <w:r>
              <w:rPr>
                <w:rFonts w:hint="eastAsia" w:ascii="仿宋_GB2312" w:hAnsi="仿宋_GB2312" w:eastAsia="仿宋_GB2312" w:cs="仿宋_GB2312"/>
                <w:highlight w:val="none"/>
                <w:lang w:val="en-US" w:eastAsia="zh-CN"/>
              </w:rPr>
              <w:t>严格按照《关于做好地方政府专项债券发行及项目配套融资工作的通知》要求，对有一定收益且收益兼有政府性基金收入和其他经营性专项收入（以下简称专项收入）的政府收费公路项目，在落实好分账管理的前提下，对偿还收费公路专项债券本息后，仍有剩余专项收入、资金可用于偿还市场化融资的，银行保险机构可在风险可控、审慎合规的前提下，根据剩余专项收入情况提供市场化融资。</w:t>
            </w:r>
          </w:p>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default" w:ascii="仿宋_GB2312" w:hAnsi="仿宋_GB2312" w:eastAsia="仿宋_GB2312" w:cs="仿宋_GB2312"/>
                <w:highlight w:val="none"/>
                <w:lang w:val="en-US" w:eastAsia="zh-CN"/>
              </w:rPr>
              <w:t>进一步优化公路项目还款安排。</w:t>
            </w:r>
            <w:r>
              <w:rPr>
                <w:rFonts w:hint="eastAsia" w:ascii="仿宋_GB2312" w:hAnsi="仿宋_GB2312" w:eastAsia="仿宋_GB2312" w:cs="仿宋_GB2312"/>
                <w:highlight w:val="none"/>
                <w:lang w:val="en-US" w:eastAsia="zh-CN"/>
              </w:rPr>
              <w:t>针对公路交通项目现金流收益特征，合理做好贷款还本付息安排。对在运营初期存在收支缺口的收费公路，银行业金融机构可根据评估情况，合理安排债务本息还款宽限期，原则上不超过建设期加1年。</w:t>
            </w:r>
          </w:p>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default" w:ascii="仿宋_GB2312" w:hAnsi="仿宋_GB2312" w:eastAsia="仿宋_GB2312" w:cs="仿宋_GB2312"/>
                <w:highlight w:val="none"/>
                <w:lang w:val="en-US" w:eastAsia="zh-CN"/>
              </w:rPr>
              <w:t>稳妥有序开展业务创新。</w:t>
            </w:r>
            <w:r>
              <w:rPr>
                <w:rFonts w:hint="eastAsia" w:ascii="仿宋_GB2312" w:hAnsi="仿宋_GB2312" w:eastAsia="仿宋_GB2312" w:cs="仿宋_GB2312"/>
                <w:highlight w:val="none"/>
                <w:lang w:val="en-US" w:eastAsia="zh-CN"/>
              </w:rPr>
              <w:t>鼓励银行保险机构为符合条件的绿色低碳公路项目提供金融支持，助力交通运输领域实现碳达峰碳中和。支持交通运输企业在依法合规、风险可控的前提下，通过资产证券化（ABS）、基础设施领域不动产投资信托基金（REITs）等方式有效盘活公路存量资产。</w:t>
            </w:r>
          </w:p>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default" w:ascii="仿宋_GB2312" w:hAnsi="仿宋_GB2312" w:eastAsia="仿宋_GB2312" w:cs="仿宋_GB2312"/>
                <w:highlight w:val="none"/>
                <w:lang w:val="en-US" w:eastAsia="zh-CN"/>
              </w:rPr>
              <w:t>支持保险公司参与公路交通建设。</w:t>
            </w:r>
            <w:r>
              <w:rPr>
                <w:rFonts w:hint="eastAsia" w:ascii="仿宋_GB2312" w:hAnsi="仿宋_GB2312" w:eastAsia="仿宋_GB2312" w:cs="仿宋_GB2312"/>
                <w:highlight w:val="none"/>
                <w:lang w:val="en-US" w:eastAsia="zh-CN"/>
              </w:rPr>
              <w:t>充分发挥保险资金规模大、期限长、稳定性高的优势，鼓励保险机构通过债权、股权、股债结合、资产支持计划和私募基金等形式，参与重大公路交通基础设施、新型交通基础设施等项目建设。鼓励保险机构根据不同类型项目特点，推出合适的公路交通项目灾毁保险产品和服务，积极参与公路灾毁保险等业务。鼓励保险资金在风险可控前提下通过购买地方政府债券方式合法合规参与公路发展。</w:t>
            </w:r>
          </w:p>
          <w:p>
            <w:pPr>
              <w:spacing w:line="240" w:lineRule="auto"/>
              <w:jc w:val="both"/>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5.</w:t>
            </w:r>
            <w:r>
              <w:rPr>
                <w:rFonts w:hint="default" w:ascii="仿宋_GB2312" w:hAnsi="仿宋_GB2312" w:eastAsia="仿宋_GB2312" w:cs="仿宋_GB2312"/>
                <w:highlight w:val="none"/>
                <w:lang w:val="en-US" w:eastAsia="zh-CN"/>
              </w:rPr>
              <w:t>稳妥做好存量债务风险化解。</w:t>
            </w:r>
            <w:r>
              <w:rPr>
                <w:rFonts w:hint="eastAsia" w:ascii="仿宋_GB2312" w:hAnsi="仿宋_GB2312" w:eastAsia="仿宋_GB2312" w:cs="仿宋_GB2312"/>
                <w:highlight w:val="none"/>
                <w:lang w:val="en-US" w:eastAsia="zh-CN"/>
              </w:rPr>
              <w:t>对受疫情影响较重、经营遇到暂时困难的公路交通企业，银行业金融机构在依法合规的前提下，按照市场化原则合理优化贷款期限、利率和还款方式，不盲目抽贷、断贷、压贷，支持公路交通企业应对疫情影响。</w:t>
            </w:r>
          </w:p>
          <w:p>
            <w:pPr>
              <w:spacing w:line="240" w:lineRule="auto"/>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w:t>
            </w:r>
            <w:r>
              <w:rPr>
                <w:rFonts w:hint="default" w:ascii="仿宋_GB2312" w:hAnsi="仿宋_GB2312" w:eastAsia="仿宋_GB2312" w:cs="仿宋_GB2312"/>
                <w:highlight w:val="none"/>
                <w:lang w:val="en-US" w:eastAsia="zh-CN"/>
              </w:rPr>
              <w:t>建立完善多元化投融资机制。</w:t>
            </w:r>
            <w:r>
              <w:rPr>
                <w:rFonts w:hint="eastAsia" w:ascii="仿宋_GB2312" w:hAnsi="仿宋_GB2312" w:eastAsia="仿宋_GB2312" w:cs="仿宋_GB2312"/>
                <w:highlight w:val="none"/>
                <w:lang w:val="en-US" w:eastAsia="zh-CN"/>
              </w:rPr>
              <w:t>各级交通运输主管部门要进一步完善公路建设投融资管理模式。在制定收费公路项目收费期限和收费标准时，要充分考虑实际情况，实现对公路建设成本的全覆盖。加强地方政府专项债券支持的公路项目管理，按规定将通行费收入和有关专项收入用于偿还专项债券本息，测算偿还后有剩余专项收入的，在确保专项债券还本付息资金安全的前提下，可由依法确定的高速公路企业法人项目单位根据剩余经营性专项收入情况适度进行市场化融资。纳入政府性基金管理的通行费等收入和纳入企业收入管理的经营性专项收入实行分账管理，纳入企业收入管理的经营性专项收入包括路衍专营收入，要优先用于偿还银行保险机构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w:t>
            </w:r>
          </w:p>
        </w:tc>
        <w:tc>
          <w:tcPr>
            <w:tcW w:w="2463" w:type="dxa"/>
            <w:noWrap w:val="0"/>
            <w:vAlign w:val="center"/>
          </w:tcPr>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中国人民银行</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国家外汇管理局</w:t>
            </w:r>
            <w:r>
              <w:rPr>
                <w:rFonts w:hint="eastAsia" w:ascii="仿宋_GB2312" w:hAnsi="仿宋_GB2312" w:eastAsia="仿宋_GB2312" w:cs="仿宋_GB2312"/>
                <w:highlight w:val="none"/>
                <w:lang w:val="en-US" w:eastAsia="zh-CN"/>
              </w:rPr>
              <w:t>关于做好疫情防控和经济社会发展金融服务的通知》</w:t>
            </w:r>
          </w:p>
        </w:tc>
        <w:tc>
          <w:tcPr>
            <w:tcW w:w="5851" w:type="dxa"/>
            <w:noWrap w:val="0"/>
            <w:vAlign w:val="center"/>
          </w:tcPr>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发挥货币政策总量和结构双重功能，加大对受疫情影响行业、企业、人群等金融支持</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为受疫情影响较大的行业提供差异化的金融服务。用好支农支小再贷款、再贴现政策，适时增加支农支小再贷款额度，引导地方法人金融机构加大对受疫情影响较大的住宿餐饮、批发零售、文化旅游等接触型服务业及其他有前景但受疫情影响暂遇困难行业的支持力度。</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加强与商务、文化旅游、交通运输等行业主管部门的信息共享，组织开展多种形式的政银企对接活动，帮助银行提升客户获取、风险评价和管控能力，针对企业特点开发动产抵质押和信用贷款产品。</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加大对小微企业等受困市场主体的金融支持力度。发挥好普惠小微贷款支持工具作用，2022年1月1日至2023年6月末，按照地方法人金融机构普惠小微贷款余额增量的1%提供激励资金，鼓励金融机构稳定普惠小微贷款存量，扩大增量。将普惠小微企业信用贷款支持计划并入支农支小再贷款管理，自2022年起，原用于支持普惠小微信用贷款的4000亿元再贷款额度继续滚动使用，必要时可再进一步增加，引导金融机构提升信用贷款和首贷户比重。</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金融机构要推广主动授信、随借随还贷款模式，更好满足小微企业用款需求。要细化实化内部资金转移定价、不良容忍度、尽职免责、绩效考核等要求，优化信贷资源配置，强化金融科技赋能，加快提升小微企业金融服务能力。要按市场化原则，通过提供中长期贷款、降低利率、展期或续贷支持等方式，积极支持受困企业抵御疫情影响，不得盲目限贷、抽贷、断贷。要积极主动对接征信平台有关的金融、政务、公用事业、商务等不同领域的涉企信用信息，缓解银企信息不对称，提高融资效率。</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）提高对重点地区和受困人群的金融服务质效。金融机构要通过调整区域融资政策、内部资金转移定价、实施差异化的绩效考核办法等措施，提升受疫情影响严重地区的金融供给水平。</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对因感染新冠肺炎住院治疗或隔离人员、疫情防控需要隔离观察人员以及受疫情影响暂时失去收入来源的人群，金融机构要及时优化信贷政策，区分还款能力和还款意愿，区分受疫情影响的短期还款能力和中长期还款能力，对其存续个人住房等贷款，灵活采取合理延后还款时间、延长贷款期限、延迟还本等方式调整还款计划予以支持。对出租车司机、网店店主、货车司机等灵活就业主体，金融机构可比照个体工商户和小微企业主，加大对其经营性贷款支持力度。</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发挥金融畅通国民经济循环作用，抓好金融支持实体经济政策落地</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加大对物流航运循环畅通的金融支持力度。金融机构要主动跟进和有效满足运输企业融资需求。对承担疫情防控和应急运输任务较重的运输物流企业开辟“绿色通道”，优化信贷审批流程，提供灵活便捷金融服务。对于因疫情影响偿还贷款暂时困难的运输物流企业和货车司机，支持金融机构科学合理给予贷款展期和续贷安排。要用好用足民航应急贷款等工具，多措并举加大对航空公司和机场的信贷支持力度。</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强化产业链供应链核心企业金融支持。设立科技创新再贷款，对符合条件的科技创新贷款提供再贷款支持，引导金融机构加大对企业科技开发和技术改造的支持力度。建立信贷、债券融资对接机制，引导金融机构快速响应产业链核心及配套企业融资需求。规范发展供应链金融业务，发挥供应链票据等金融工具和应收账款融资服务平台作用，支持供应链企业融资。</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加大对有效投资等金融支持力度。开发性、政策性银行要结合自身业务范围，加大对重点投资项目的资金支持力度。金融机构要主动对接重大项目，加大对水利、交通、管网、市政基础设施等领域惠民生、补短板项目和第五代移动通信（5G）、工业互联网、数据中心等新型基础设施建设的支持，推动新开工项目尽快开工，实现实物工作量。要合理购买地方政府债券，支持地方政府适度超前开展基础设施投资。要在风险可控、依法合规的前提下，按市场化原则保障融资平台公司合理融资需求，不得盲目抽贷、压贷或停贷，保障在建项目顺利实施。做好民间投资、政府和社会资本合作的金融支持工作。金融机构对信贷增长缓慢的省（区）新增贷款占比要稳中有升。</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积极支持民营企业健康发展。坚持“两个毫不动摇”，对国有经济和民营经济在贷款、债券融资政策等金融政策上一视同仁。鼓励金融机构与民营企业构建中长期合作关系，制定民营企业年度服务目标，充分满足民营经济合理金融需求，进一步提高新发放企业贷款中民营企业贷款占比。</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发挥国家融资担保基金引领作用，鼓励有条件的地方设立民营企业贷款风险补偿专项资金或信用保证基金，重点为首贷、转贷、续贷等提供增信服务。完善民营企业债券融资支持机制，鼓励金融机构加大民营企业债券投资力度。</w:t>
            </w:r>
          </w:p>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引导平台企业依法合规开展普惠金融业务。在推动平台企业网络金融业务规范健康发展的基础上，发挥平台企业金融服务的积极作用。支持平台企业运用互联网技术，优化场景化线上融资产品，向平台商户和消费者提供非接触式金融服务。鼓励平台企业充分发挥获客、数据、风控和技术优势，加大对“三农”、小微领域的首贷、信用贷支持力度。引导平台企业稳步降低利息和收费水平，为受疫情影响的贷款客户提供延期还本付息服务，最大化惠企利民。督促平台企业规范开展与金融机构业务合作，赋能金融机构加快数字化转型，提升金融服务效率和覆盖面。</w:t>
            </w:r>
          </w:p>
          <w:p>
            <w:pPr>
              <w:spacing w:line="240" w:lineRule="auto"/>
              <w:jc w:val="both"/>
              <w:rPr>
                <w:rFonts w:hint="eastAsia" w:ascii="仿宋_GB2312" w:hAnsi="仿宋_GB2312" w:eastAsia="仿宋_GB2312" w:cs="仿宋_GB231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6</w:t>
            </w:r>
          </w:p>
        </w:tc>
        <w:tc>
          <w:tcPr>
            <w:tcW w:w="2463"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《国家税务总局关于进一步加大增值税期末留抵退税政策实施力度有关征管事项的公告》（国家税务总局公告2022年第4号）</w:t>
            </w:r>
          </w:p>
        </w:tc>
        <w:tc>
          <w:tcPr>
            <w:tcW w:w="5851" w:type="dxa"/>
            <w:noWrap w:val="0"/>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1.在计算允许退还的留抵税额的进项构成比例时，纳税人在2019年4月至申请退税前一税款所属期内按规定转出的进项税额，无需从已抵扣的增值税专用发票（含带有“增值税专用发票”字样全面数字化的电子发票、税控机动车销售统一发票）、收费公路通行费增值税电子普通发票、海关进口增值税专用缴款书、解缴税款完税凭证注明的增值税额中扣减。</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2.适用增值税一般计税方法的个体工商户，可自本公告发布之日起，自愿向主管税务机关申请参照企业纳税信用评价指标和评价方式参加评价，并在以后的存续期内适用国家税务总局纳税信用管理相关规定。对于已按照省税务机关公布的纳税信用管理办法参加纳税信用评价的，也可选择沿用原纳税信用级别，符合条件的可申请办理留抵退税。</w:t>
            </w:r>
          </w:p>
          <w:p>
            <w:pPr>
              <w:pStyle w:val="2"/>
              <w:spacing w:line="240" w:lineRule="auto"/>
              <w:ind w:left="0" w:leftChars="0" w:firstLine="0" w:firstLineChars="0"/>
              <w:rPr>
                <w:rFonts w:hint="eastAsia" w:ascii="Calibri" w:hAnsi="Calibri"/>
                <w:kern w:val="2"/>
                <w:sz w:val="21"/>
                <w:szCs w:val="24"/>
                <w:lang w:val="en-US" w:eastAsia="zh-CN" w:bidi="ar-SA"/>
              </w:rPr>
            </w:pPr>
            <w:r>
              <w:rPr>
                <w:rFonts w:hint="eastAsia" w:ascii="仿宋_GB2312" w:hAnsi="仿宋_GB2312" w:eastAsia="仿宋_GB2312" w:cs="仿宋_GB2312"/>
              </w:rPr>
              <w:t>3.本公告自2022年4月1日起施行。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7</w:t>
            </w:r>
          </w:p>
        </w:tc>
        <w:tc>
          <w:tcPr>
            <w:tcW w:w="2463"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《国家税务总局关于小型微利企业所得税优惠政策征管问题的公告》（国家税务总局公告2022年第5号）</w:t>
            </w:r>
          </w:p>
        </w:tc>
        <w:tc>
          <w:tcPr>
            <w:tcW w:w="5851" w:type="dxa"/>
            <w:noWrap w:val="0"/>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1.符合财政部、税务总局规定的小型微利企业条件的企业（以下简称小型微利企业），按照相关政策规定享受小型微利企业所得税优惠政策。</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企业设立不具有法人资格分支机构的，应当汇总计算总机构及其各分支机构的从业人数、资产总额、年度应纳税所得额，依据合计数判断是否符合小型微利企业条件。</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2.小型微利企业无论按查账征收方式或核定征收方式缴纳企业所得税，均可享受小型微利企业所得税优惠政策。</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3.小型微利企业在预缴和汇算清缴企业所得税时，通过填写纳税申报表，即可享受小型微利企业所得税优惠政策。</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4.小型微利企业预缴企业所得税时，资产总额、从业人数、年度应纳税所得额指标，暂按当年度截至本期预缴申报所属期末的情况进行判断。</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5.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6.企业预缴企业所得税时享受了小型微利企业所得税优惠政策，但在汇算清缴时发现不符合相关政策标准的，应当按照规定补缴企业所得税税款。</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7.小型微利企业所得税统一实行按季度预缴。</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按月度预缴企业所得税的企业，在当年度4月、7月、10月预缴申报时，若按相关政策标准判断符合小型微利企业条件的，下一个预缴申报期起调整为按季度预缴申报，一经调整，当年度内不再变更。</w:t>
            </w:r>
          </w:p>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8.本公告自2022年1月1日起施行。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8</w:t>
            </w:r>
          </w:p>
        </w:tc>
        <w:tc>
          <w:tcPr>
            <w:tcW w:w="2463"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《中国人民银行关于做好2022年金融支持全面推进乡村振兴重点工作的意见》（银发〔2022〕74号）</w:t>
            </w:r>
          </w:p>
        </w:tc>
        <w:tc>
          <w:tcPr>
            <w:tcW w:w="5851" w:type="dxa"/>
            <w:noWrap w:val="0"/>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1. 强化对农业农村基础设施建设的金融支持。各金融机构要围绕农业农村基础设施建设、人居环境改造等重点领域，在不新增地方政府隐性债务前提下，根据借款人资信状况和偿债能力、项目投资回报周期等，探索开发合适的金融产品和融资模式，加大对乡村道路建设、供水工程改造、农村电网巩固提升等项目的信贷支持力度，积极投放中长期贷款。</w:t>
            </w:r>
          </w:p>
          <w:p>
            <w:pPr>
              <w:pStyle w:val="2"/>
              <w:spacing w:line="240" w:lineRule="auto"/>
              <w:ind w:left="0" w:leftChars="0" w:firstLine="0" w:firstLineChars="0"/>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2. 推进县域基本公共服务与金融服务融合发展。各金融机构要依托线下网点，积极整合普惠金融、便民服务、农资农技等资源，加快涉农场景建设推广，增强网点综合化服务能力，提升缴费、查询、远程服务等便捷性。进一步加强金融与教育、社保、医疗、交通、社会救助等民生系统互联互通，推进县域基本公共服务便利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9</w:t>
            </w:r>
          </w:p>
        </w:tc>
        <w:tc>
          <w:tcPr>
            <w:tcW w:w="2463"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《国家发展改革委办公厅 市场监管总局办公厅关于进一步发挥行业协会商会自律作用坚决杜绝乱收费行为的通知》（发改办体改〔2022〕245号）</w:t>
            </w:r>
          </w:p>
        </w:tc>
        <w:tc>
          <w:tcPr>
            <w:tcW w:w="5851"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各行业协会商会要进一步学深悟透有关规范行业协会商会收费行为的法律法规和政策规定，严格对照执行。有关部门将坚决对以下乱收费行为“零容忍”，依法依规严厉处罚：强制或变相强制入会并收取会费，强制市场主体参加会议、培训、考试、展览、评比评选、出国考察等各类收费活动或接受第三方机构有偿服务，强制市场主体提供赞助、捐赠、订购有关产品或刊物，只收取会费不提供服务或对会费包含的基本服务项目重复收费，利用分支（代表）机构多头重复收取会费，未按规定程序制定或修改会费标准，利用自身法定职责或行政机关影响力、行政机关委托授权事项违规收费，未经批准开展评比达标表彰、职业资格认定并收费，以担任理事、常务理事、负责人为名向会员收取除会费以外的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10</w:t>
            </w:r>
          </w:p>
        </w:tc>
        <w:tc>
          <w:tcPr>
            <w:tcW w:w="2463" w:type="dxa"/>
            <w:noWrap w:val="0"/>
            <w:vAlign w:val="center"/>
          </w:tcPr>
          <w:p>
            <w:pPr>
              <w:spacing w:line="240" w:lineRule="auto"/>
              <w:jc w:val="both"/>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《中国银保监会办公厅关于2022年银行业保险业服务全面推进乡村振兴重点工作的通知》（银保监办发〔2022〕35号）</w:t>
            </w:r>
          </w:p>
        </w:tc>
        <w:tc>
          <w:tcPr>
            <w:tcW w:w="5851" w:type="dxa"/>
            <w:noWrap w:val="0"/>
            <w:vAlign w:val="center"/>
          </w:tcPr>
          <w:p>
            <w:pPr>
              <w:spacing w:line="240" w:lineRule="auto"/>
              <w:jc w:val="both"/>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rPr>
              <w:t>探索创新金融支持乡村建设有效方式</w:t>
            </w: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rPr>
              <w:t>银行机构要强化乡村建设中长期信贷投入，加大乡村道路交通、物流通信、供水供电、教育卫生、清洁能源、人居环境改造提升等领域金融支持，助力提高农村公共服务供给水平。在依法合规、风险可控前提下，探索创新金融支持乡村建设的有效方式，构建乡村建设领域综合平衡融资模式，破解基础设施建设项目缺乏有效还款来源难题。积极服务新型城镇化建设，创新符合新型城镇化需求的金融产品和融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11</w:t>
            </w:r>
          </w:p>
        </w:tc>
        <w:tc>
          <w:tcPr>
            <w:tcW w:w="2463"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《中国银保监会办公厅关于2022年进一步强化金融支持小微企业发展工作的通知》（银保监办发〔2022〕37号）</w:t>
            </w:r>
          </w:p>
        </w:tc>
        <w:tc>
          <w:tcPr>
            <w:tcW w:w="5851" w:type="dxa"/>
            <w:noWrap w:val="0"/>
            <w:vAlign w:val="center"/>
          </w:tcPr>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 xml:space="preserve">. </w:t>
            </w:r>
            <w:r>
              <w:rPr>
                <w:rFonts w:hint="eastAsia" w:ascii="仿宋_GB2312" w:hAnsi="仿宋_GB2312" w:eastAsia="仿宋_GB2312" w:cs="仿宋_GB2312"/>
              </w:rPr>
              <w:t>工作目标。银行业金融机构总体继续实现单户授信1000万元以下（含）的普惠型小微企业贷款“两增”目标，即此类贷款增速不低于各项贷款增速、有贷款余额的户数不低于年初水平。加大信用贷款投放力度，力争普惠型小微企业贷款余额中信用贷款占比持续提高。努力提升小微企业贷款户中首贷户的比重，大型银行、股份制银行实现全年新增小型微型企业法人首贷户数量高于上年。在确保信贷投放增量扩面的前提下，力争总体实现2022年银行业新发放普惠型小微企业贷款利率较2021年有所下降。</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w:t>
            </w:r>
            <w:r>
              <w:rPr>
                <w:rFonts w:hint="eastAsia"/>
              </w:rPr>
              <w:t xml:space="preserve"> </w:t>
            </w:r>
            <w:r>
              <w:rPr>
                <w:rFonts w:hint="eastAsia" w:ascii="仿宋_GB2312" w:hAnsi="仿宋_GB2312" w:eastAsia="仿宋_GB2312" w:cs="仿宋_GB2312"/>
              </w:rPr>
              <w:t>完善多层次的小微企业信贷供给体系。大型银行、股份制银行要进一步健全普惠金融事业部的专门机制，保持久久为功服务小微企业的战略定力，发挥网点、技术、人才、信息系统等优势，下沉服务重心，更好地服务小微企业，拓展首贷户。地方法人银行要坚守定位，将服务小微企业作为自身改制化险、转型发展的重要战略方向，用好年初出台的普惠小微贷款增量奖励、支小再贷款等货币政策工具，切实加大信贷投放力度，着力提高普惠型小微企业信用贷款占比。开发银行、政策性银行要继续深化完善与商业银行合作的小微企业转贷款业务模式，并根据自身战略定位和业务特点，稳妥探索开展对小微企业的直贷业务。</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3</w:t>
            </w:r>
            <w:r>
              <w:rPr>
                <w:rFonts w:ascii="仿宋_GB2312" w:hAnsi="仿宋_GB2312" w:eastAsia="仿宋_GB2312" w:cs="仿宋_GB2312"/>
              </w:rPr>
              <w:t xml:space="preserve">. </w:t>
            </w:r>
            <w:r>
              <w:rPr>
                <w:rFonts w:hint="eastAsia" w:ascii="仿宋_GB2312" w:hAnsi="仿宋_GB2312" w:eastAsia="仿宋_GB2312" w:cs="仿宋_GB2312"/>
              </w:rPr>
              <w:t>进一步增强小微企业贷款可获得性。银行业金融机构要加大信贷产品创新力度，加强对小微企业信用信息的挖掘运用，着重提高信用贷款发放效率。针对小微企业轻资产特点，积极推广存货、应收账款、知识产权等动产和权利质押融资业务，降低对不动产等传统抵押物的过度依赖。深入推进银担合作、银保合作。支持银行业金融机构与国家融资担保基金及其合作担保机构有序开展总对总的“见贷即保”批量担保业务，为小微企业、个体工商户提供信贷支持，合理分担贷款风险。鼓励政府性融资担保机构在同等条件下优先为小微企业和个体工商户首贷户贷款提供担保。鼓励保险机构稳步开展小微企业融资性信保业务，对优质小微企业给予费率优惠。</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4</w:t>
            </w:r>
            <w:r>
              <w:rPr>
                <w:rFonts w:ascii="仿宋_GB2312" w:hAnsi="仿宋_GB2312" w:eastAsia="仿宋_GB2312" w:cs="仿宋_GB2312"/>
              </w:rPr>
              <w:t xml:space="preserve">. </w:t>
            </w:r>
            <w:r>
              <w:rPr>
                <w:rFonts w:hint="eastAsia" w:ascii="仿宋_GB2312" w:hAnsi="仿宋_GB2312" w:eastAsia="仿宋_GB2312" w:cs="仿宋_GB2312"/>
              </w:rPr>
              <w:t>做好延期还本付息政策接续和贷款期限管理。银行业金融机构要做好延期还本付息政策到期的接续转换。进一步推广“随借随还”模式，加大续贷政策落实力度，主动跟进小微企业融资需求，对符合续贷条件的正常类小微企业贷款积极给予支持。对确有还款意愿和吸纳就业能力、存在临时性经营困难的小微企业，统筹考虑展期、重组等手段，按照市场化原则自主协商贷款还本付息方式。</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5</w:t>
            </w:r>
            <w:r>
              <w:rPr>
                <w:rFonts w:ascii="仿宋_GB2312" w:hAnsi="仿宋_GB2312" w:eastAsia="仿宋_GB2312" w:cs="仿宋_GB2312"/>
              </w:rPr>
              <w:t xml:space="preserve">. </w:t>
            </w:r>
            <w:r>
              <w:rPr>
                <w:rFonts w:hint="eastAsia" w:ascii="仿宋_GB2312" w:hAnsi="仿宋_GB2312" w:eastAsia="仿宋_GB2312" w:cs="仿宋_GB2312"/>
              </w:rPr>
              <w:t>巩固向小微企业让利成果。银行业金融机构的小微企业贷款利率定价机制应动态反映贷款市场报价利率（LPR）走势，并将货币、税收减免、财政奖补等政策红利向终端利率价格有效传导。银行业金融机构与开发性、政策性银行合作以转贷款资金发放的小微企业贷款，终端平均利率不得高于当地同类机构同类贷款平均水平。</w:t>
            </w:r>
          </w:p>
          <w:p>
            <w:pPr>
              <w:pStyle w:val="2"/>
              <w:spacing w:line="24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t>6</w:t>
            </w:r>
            <w:r>
              <w:rPr>
                <w:rFonts w:ascii="仿宋_GB2312" w:hAnsi="仿宋_GB2312" w:eastAsia="仿宋_GB2312" w:cs="仿宋_GB2312"/>
              </w:rPr>
              <w:t xml:space="preserve">. </w:t>
            </w:r>
            <w:r>
              <w:rPr>
                <w:rFonts w:hint="eastAsia" w:ascii="仿宋_GB2312" w:hAnsi="仿宋_GB2312" w:eastAsia="仿宋_GB2312" w:cs="仿宋_GB2312"/>
              </w:rPr>
              <w:t>持续做好对小微制造业企业的金融服务。银行业金融机构要重点加大对先进制造业、战略性新兴产业小微企业的中长期信贷投放，积极支持传统产业小微企业在设备更新、技术改造、绿色转型发展等方面的中长期资金需求，助力工业经济平稳增长。银行保险机构要主动建立健全与创新型中小企业、“专精特新”中小企业、“小巨人”企业及主管部门的信息对接机制，精准获客，开发专属金融产品。银行保险机构要规范发展供应链金融，在加强风险防控的基础上，依托核心企业，整合金融产品、客户、渠道等资源，综合运用交易数据、资金流和物流信息，为上下游小微企业提供一揽子金融服务。</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7</w:t>
            </w:r>
            <w:r>
              <w:rPr>
                <w:rFonts w:ascii="仿宋_GB2312" w:hAnsi="仿宋_GB2312" w:eastAsia="仿宋_GB2312" w:cs="仿宋_GB2312"/>
              </w:rPr>
              <w:t xml:space="preserve">. </w:t>
            </w:r>
            <w:r>
              <w:rPr>
                <w:rFonts w:hint="eastAsia" w:ascii="仿宋_GB2312" w:hAnsi="仿宋_GB2312" w:eastAsia="仿宋_GB2312" w:cs="仿宋_GB2312"/>
              </w:rPr>
              <w:t>强化对小微企业科技创新的金融支撑。银行业金融机构要积极完善科技信贷服务模式，发挥与子公司的协同作用，为小微科创企业提供持续资金支持，在风险可控前提下与外部投资机构探索“贷款+外部直投”等业务新模式，在企业生命周期中前移金融服务。强化科技保险服务，进一步推进首台（套）重大技术装备保险试点和新材料首批次应用保险试点，丰富知识产权保险业务品种。</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8</w:t>
            </w:r>
            <w:r>
              <w:rPr>
                <w:rFonts w:ascii="仿宋_GB2312" w:hAnsi="仿宋_GB2312" w:eastAsia="仿宋_GB2312" w:cs="仿宋_GB2312"/>
              </w:rPr>
              <w:t>.</w:t>
            </w:r>
            <w:r>
              <w:rPr>
                <w:rFonts w:hint="eastAsia"/>
              </w:rPr>
              <w:t xml:space="preserve"> </w:t>
            </w:r>
            <w:r>
              <w:rPr>
                <w:rFonts w:hint="eastAsia" w:ascii="仿宋_GB2312" w:hAnsi="仿宋_GB2312" w:eastAsia="仿宋_GB2312" w:cs="仿宋_GB2312"/>
              </w:rPr>
              <w:t>银行业金融机构要切实加大对个体工商户的信贷投放，根据个体工商户生产经营特点改进信用评价和授信管理，确保2022年个体工商户贷款余额、户数持续增长。对依照《电子商务法》《无证无照经营查处办法》等法律法规规定无须申领营业执照的个体经营者，应比照个体工商户，在同等条件下给予金融支持。</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9</w:t>
            </w:r>
            <w:r>
              <w:rPr>
                <w:rFonts w:ascii="仿宋_GB2312" w:hAnsi="仿宋_GB2312" w:eastAsia="仿宋_GB2312" w:cs="仿宋_GB2312"/>
              </w:rPr>
              <w:t>.</w:t>
            </w:r>
            <w:r>
              <w:rPr>
                <w:rFonts w:hint="eastAsia"/>
              </w:rPr>
              <w:t xml:space="preserve"> </w:t>
            </w:r>
            <w:r>
              <w:rPr>
                <w:rFonts w:hint="eastAsia" w:ascii="仿宋_GB2312" w:hAnsi="仿宋_GB2312" w:eastAsia="仿宋_GB2312" w:cs="仿宋_GB2312"/>
              </w:rPr>
              <w:t>着力改善金融资源投放的区域均衡性。大型银行、股份制银行制定普惠型小微企业信贷计划，要向欠发达地区的一级分行压实信贷投放任务，并明确要求各一级分行在向下分解信贷计划时，优先满足辖内相对欠发达地区信贷需求。在内部资金转移定价（FTP）、利润损失补偿、综合绩效考核、营销费用等方面，可适当向相对欠发达地区倾斜。</w:t>
            </w:r>
          </w:p>
          <w:p>
            <w:pPr>
              <w:pStyle w:val="2"/>
              <w:spacing w:line="240" w:lineRule="auto"/>
              <w:ind w:left="0" w:leftChars="0" w:firstLine="0" w:firstLineChars="0"/>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0.</w:t>
            </w:r>
            <w:r>
              <w:rPr>
                <w:rFonts w:hint="eastAsia"/>
              </w:rPr>
              <w:t xml:space="preserve"> </w:t>
            </w:r>
            <w:r>
              <w:rPr>
                <w:rFonts w:hint="eastAsia" w:ascii="仿宋_GB2312" w:hAnsi="仿宋_GB2312" w:eastAsia="仿宋_GB2312" w:cs="仿宋_GB2312"/>
              </w:rPr>
              <w:t>鼓励银行保险机构在工程建设、招投标等领域为符合条件的小微企业提供保函和保证保险产品，减轻企业保证金占款压力。</w:t>
            </w:r>
          </w:p>
          <w:p>
            <w:pPr>
              <w:pStyle w:val="2"/>
              <w:spacing w:line="240" w:lineRule="auto"/>
              <w:ind w:left="0" w:leftChars="0" w:firstLine="0" w:firstLineChars="0"/>
              <w:rPr>
                <w:rFonts w:hint="eastAsia" w:ascii="Calibri" w:hAnsi="Calibri"/>
                <w:kern w:val="2"/>
                <w:sz w:val="21"/>
                <w:szCs w:val="24"/>
                <w:lang w:val="en-US" w:eastAsia="zh-CN" w:bidi="ar-SA"/>
              </w:rPr>
            </w:pPr>
            <w:r>
              <w:rPr>
                <w:rFonts w:hint="eastAsia" w:ascii="仿宋_GB2312" w:hAnsi="仿宋_GB2312" w:eastAsia="仿宋_GB2312" w:cs="仿宋_GB2312"/>
              </w:rPr>
              <w:t>1</w:t>
            </w:r>
            <w:r>
              <w:rPr>
                <w:rFonts w:ascii="仿宋_GB2312" w:hAnsi="仿宋_GB2312" w:eastAsia="仿宋_GB2312" w:cs="仿宋_GB2312"/>
              </w:rPr>
              <w:t>1.</w:t>
            </w:r>
            <w:r>
              <w:rPr>
                <w:rFonts w:hint="eastAsia"/>
              </w:rPr>
              <w:t xml:space="preserve"> </w:t>
            </w:r>
            <w:r>
              <w:rPr>
                <w:rFonts w:hint="eastAsia" w:ascii="仿宋_GB2312" w:hAnsi="仿宋_GB2312" w:eastAsia="仿宋_GB2312" w:cs="仿宋_GB2312"/>
              </w:rPr>
              <w:t>严格落实信贷融资收费和服务价格管理规定。严禁银行保险机构违规向小微企业收取服务费用或变相转嫁服务成本。银行保险机构与第三方机构合作开展小微企业金融服务的，要了解第三方机构向小微企业收费情况，评估企业综合融资成本。银行保险机构应当要求第三方机构将其所提供服务的资费标准向小微企业充分告知，并明确约定禁止第三方机构以银行名义向小微企业收取任何费用。要持续评估合作模式，及时终止与服务收费质价不符机构的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12</w:t>
            </w:r>
          </w:p>
        </w:tc>
        <w:tc>
          <w:tcPr>
            <w:tcW w:w="2463" w:type="dxa"/>
            <w:noWrap w:val="0"/>
            <w:vAlign w:val="center"/>
          </w:tcPr>
          <w:p>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《关于做好2022年服务业小微企业和个体工商户房租减免工作的通知》(国资厅财评〔2022〕29号)</w:t>
            </w:r>
          </w:p>
        </w:tc>
        <w:tc>
          <w:tcPr>
            <w:tcW w:w="5851" w:type="dxa"/>
            <w:noWrap w:val="0"/>
            <w:vAlign w:val="center"/>
          </w:tcPr>
          <w:p>
            <w:pPr>
              <w:spacing w:line="240" w:lineRule="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rPr>
              <w:t>各中央企业要按照271号文件要求，对2022年被列为疫情中高风险地区所在县级行政区域（参照国家行政区划标准）内承租中央企业房屋的服务业小微企业和个体工商户减免当年6个月租金（四季度被列为疫情中高风险地区的，要通过当年退租或下年减免等方式足额减免6个月租金），其他地区减免3个月租金。各中央企业要抓紧研究确定房租减免政策的具体实施细则并抓好落实，尽快提升市场主体获得感。普遍减免3个月租金工作要力争在上半年实际完成主体工作，补充减免3个月租金工作要在列为中高风险地区后2个月内完成。对于转租、分租中央企业房屋的，要持续加大工作力度，推动减租政策有效传导至实际承租人。对于所属股权多元化子企业，要积极沟通协调，争取中小股东理解支持，在规范履行内部决策程序后对租金予以减免。对于所属子企业因落实减租政策导致资金困难的，上级企业或集团公司应给予资金支持。关于服务业行业分类标准，可参考国家统计局《国民经济行业分类》（原则上第三产业都可以视为服务业），优先减免271号文件所涉及行业。关于小微企业界定范围，可参考《关于印发中小企业划型标准规定的通知》（工信部联企业〔2011〕300号）或市场监管总局网站的“小微企业名录查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10" w:type="dxa"/>
            <w:noWrap w:val="0"/>
            <w:vAlign w:val="center"/>
          </w:tcPr>
          <w:p>
            <w:pPr>
              <w:spacing w:line="240" w:lineRule="auto"/>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13</w:t>
            </w:r>
          </w:p>
        </w:tc>
        <w:tc>
          <w:tcPr>
            <w:tcW w:w="2463" w:type="dxa"/>
            <w:noWrap w:val="0"/>
            <w:vAlign w:val="center"/>
          </w:tcPr>
          <w:p>
            <w:pPr>
              <w:pStyle w:val="4"/>
              <w:numPr>
                <w:ilvl w:val="0"/>
                <w:numId w:val="0"/>
              </w:numPr>
              <w:spacing w:line="240" w:lineRule="auto"/>
              <w:ind w:leftChars="0"/>
              <w:rPr>
                <w:rFonts w:hint="eastAsia" w:ascii="仿宋_GB2312" w:hAnsi="仿宋_GB2312" w:eastAsia="仿宋_GB2312" w:cs="仿宋_GB2312"/>
                <w:highlight w:val="none"/>
              </w:rPr>
            </w:pPr>
            <w:r>
              <w:rPr>
                <w:rFonts w:hint="eastAsia" w:ascii="仿宋_GB2312" w:hAnsi="仿宋_GB2312" w:eastAsia="仿宋_GB2312" w:cs="仿宋_GB2312"/>
                <w:b w:val="0"/>
                <w:kern w:val="2"/>
                <w:sz w:val="21"/>
                <w:szCs w:val="24"/>
                <w:highlight w:val="none"/>
                <w:lang w:val="en-US" w:eastAsia="zh-CN" w:bidi="ar-SA"/>
              </w:rPr>
              <w:t>《中国人民银行决定于2022年4月25日下调金融机构存款准备金率》</w:t>
            </w:r>
          </w:p>
        </w:tc>
        <w:tc>
          <w:tcPr>
            <w:tcW w:w="5851" w:type="dxa"/>
            <w:noWrap w:val="0"/>
            <w:vAlign w:val="center"/>
          </w:tcPr>
          <w:p>
            <w:pPr>
              <w:pStyle w:val="2"/>
              <w:spacing w:line="240" w:lineRule="auto"/>
              <w:ind w:left="0" w:leftChars="0" w:firstLine="0" w:firstLineChars="0"/>
              <w:rPr>
                <w:rFonts w:hint="eastAsia" w:ascii="仿宋_GB2312" w:hAnsi="仿宋_GB2312" w:eastAsia="仿宋_GB2312" w:cs="仿宋_GB2312"/>
                <w:highlight w:val="none"/>
              </w:rPr>
            </w:pPr>
            <w:r>
              <w:rPr>
                <w:rFonts w:hint="eastAsia" w:ascii="仿宋_GB2312" w:hAnsi="仿宋_GB2312" w:eastAsia="仿宋_GB2312" w:cs="仿宋_GB2312"/>
                <w:highlight w:val="none"/>
              </w:rPr>
              <w:t>为支持实体经济发展，促进综合融资成本稳中有降，中国人民银行决定于2022年4月25日下调金融机构存款准备金率0.25个百分点（不含已执行5%存款准备金率的金融机构）。为加大对小微企业和“三农”的支持力度，对没有跨省经营的城商行和存款准备金率高于5%的农商行，在下调存款准备金率0.25个百分点的基础上，再额外多降0.25个百分点。本次下调后，金融机构加权平均存款准备金率为8.1%。</w:t>
            </w:r>
          </w:p>
        </w:tc>
      </w:tr>
    </w:tbl>
    <w:p>
      <w:pPr>
        <w:rPr>
          <w:rFonts w:ascii="宋体" w:hAnsi="宋体" w:cs="宋体"/>
          <w:sz w:val="28"/>
          <w:szCs w:val="28"/>
        </w:rPr>
      </w:pP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lang w:val="en-US" w:eastAsia="zh-CN"/>
        </w:rPr>
        <w:br w:type="page"/>
      </w:r>
      <w:r>
        <w:rPr>
          <w:rFonts w:hint="eastAsia" w:ascii="方正小标宋_GBK" w:hAnsi="方正小标宋_GBK" w:eastAsia="方正小标宋_GBK" w:cs="方正小标宋_GBK"/>
          <w:bCs/>
          <w:color w:val="000000"/>
          <w:sz w:val="36"/>
          <w:szCs w:val="44"/>
        </w:rPr>
        <w:t>2022年以来涉交通运输业国家主要财税金融</w:t>
      </w:r>
    </w:p>
    <w:p>
      <w:pPr>
        <w:adjustRightInd w:val="0"/>
        <w:snapToGrid w:val="0"/>
        <w:spacing w:before="156" w:beforeLines="50" w:after="156" w:afterLines="50" w:line="360" w:lineRule="auto"/>
        <w:jc w:val="center"/>
        <w:outlineLvl w:val="0"/>
        <w:rPr>
          <w:rFonts w:hint="eastAsia" w:ascii="方正小标宋_GBK" w:hAnsi="方正小标宋_GBK" w:eastAsia="方正小标宋_GBK" w:cs="方正小标宋_GBK"/>
          <w:bCs/>
          <w:color w:val="000000"/>
          <w:sz w:val="36"/>
          <w:szCs w:val="44"/>
          <w:lang w:val="en-US" w:eastAsia="zh-CN"/>
        </w:rPr>
      </w:pPr>
      <w:r>
        <w:rPr>
          <w:rFonts w:hint="eastAsia" w:ascii="方正小标宋_GBK" w:hAnsi="方正小标宋_GBK" w:eastAsia="方正小标宋_GBK" w:cs="方正小标宋_GBK"/>
          <w:bCs/>
          <w:color w:val="000000"/>
          <w:sz w:val="36"/>
          <w:szCs w:val="44"/>
        </w:rPr>
        <w:t>优惠政策目录清单</w:t>
      </w:r>
    </w:p>
    <w:p>
      <w:pPr>
        <w:adjustRightInd w:val="0"/>
        <w:snapToGrid w:val="0"/>
        <w:spacing w:before="156" w:beforeLines="50" w:after="156" w:afterLines="50" w:line="360" w:lineRule="auto"/>
        <w:jc w:val="center"/>
        <w:outlineLvl w:val="0"/>
        <w:rPr>
          <w:rFonts w:hint="eastAsia" w:ascii="黑体" w:hAnsi="黑体" w:eastAsia="黑体" w:cs="方正小标宋_GBK"/>
          <w:bCs/>
          <w:color w:val="000000"/>
          <w:sz w:val="30"/>
          <w:szCs w:val="44"/>
        </w:rPr>
      </w:pPr>
      <w:r>
        <w:rPr>
          <w:rFonts w:hint="eastAsia" w:ascii="方正小标宋_GBK" w:hAnsi="方正小标宋_GBK" w:eastAsia="方正小标宋_GBK" w:cs="方正小标宋_GBK"/>
          <w:bCs/>
          <w:color w:val="000000"/>
          <w:sz w:val="36"/>
          <w:szCs w:val="44"/>
          <w:lang w:val="en-US" w:eastAsia="zh-CN"/>
        </w:rPr>
        <w:t>（1）</w:t>
      </w:r>
    </w:p>
    <w:p>
      <w:pPr>
        <w:spacing w:line="240" w:lineRule="auto"/>
        <w:rPr>
          <w:rFonts w:ascii="黑体" w:hAnsi="黑体" w:eastAsia="黑体" w:cs="方正小标宋_GBK"/>
          <w:bCs/>
          <w:color w:val="000000"/>
          <w:sz w:val="30"/>
          <w:szCs w:val="44"/>
          <w:highlight w:val="yellow"/>
        </w:rPr>
      </w:pPr>
      <w:r>
        <w:rPr>
          <w:rFonts w:hint="eastAsia" w:ascii="黑体" w:hAnsi="黑体" w:eastAsia="黑体" w:cs="方正小标宋_GBK"/>
          <w:bCs/>
          <w:color w:val="000000"/>
          <w:sz w:val="30"/>
          <w:szCs w:val="44"/>
        </w:rPr>
        <w:t xml:space="preserve">财务审计司编发     </w:t>
      </w:r>
      <w:r>
        <w:rPr>
          <w:rFonts w:hint="eastAsia" w:ascii="黑体" w:hAnsi="黑体" w:eastAsia="黑体" w:cs="方正小标宋_GBK"/>
          <w:bCs/>
          <w:color w:val="000000"/>
          <w:sz w:val="30"/>
          <w:szCs w:val="44"/>
          <w:lang w:val="en-US" w:eastAsia="zh-CN"/>
        </w:rPr>
        <w:t xml:space="preserve">                </w:t>
      </w:r>
      <w:r>
        <w:rPr>
          <w:rFonts w:hint="eastAsia" w:ascii="黑体" w:hAnsi="黑体" w:eastAsia="黑体" w:cs="方正小标宋_GBK"/>
          <w:bCs/>
          <w:color w:val="000000"/>
          <w:sz w:val="30"/>
          <w:szCs w:val="44"/>
        </w:rPr>
        <w:t xml:space="preserve"> </w:t>
      </w:r>
      <w:r>
        <w:rPr>
          <w:rFonts w:hint="eastAsia" w:ascii="黑体" w:hAnsi="黑体" w:eastAsia="黑体" w:cs="方正小标宋_GBK"/>
          <w:bCs/>
          <w:color w:val="000000"/>
          <w:sz w:val="30"/>
          <w:szCs w:val="44"/>
          <w:lang w:eastAsia="zh-CN"/>
        </w:rPr>
        <w:t>截</w:t>
      </w:r>
      <w:r>
        <w:rPr>
          <w:rFonts w:hint="eastAsia" w:ascii="黑体" w:hAnsi="黑体" w:eastAsia="黑体" w:cs="方正小标宋_GBK"/>
          <w:bCs/>
          <w:color w:val="000000"/>
          <w:sz w:val="30"/>
          <w:szCs w:val="44"/>
        </w:rPr>
        <w:t>至2</w:t>
      </w:r>
      <w:r>
        <w:rPr>
          <w:rFonts w:ascii="黑体" w:hAnsi="黑体" w:eastAsia="黑体" w:cs="方正小标宋_GBK"/>
          <w:bCs/>
          <w:color w:val="000000"/>
          <w:sz w:val="30"/>
          <w:szCs w:val="44"/>
        </w:rPr>
        <w:t>022</w:t>
      </w:r>
      <w:r>
        <w:rPr>
          <w:rFonts w:hint="eastAsia" w:ascii="黑体" w:hAnsi="黑体" w:eastAsia="黑体" w:cs="方正小标宋_GBK"/>
          <w:bCs/>
          <w:color w:val="000000"/>
          <w:sz w:val="30"/>
          <w:szCs w:val="44"/>
        </w:rPr>
        <w:t>年</w:t>
      </w:r>
      <w:r>
        <w:rPr>
          <w:rFonts w:ascii="黑体" w:hAnsi="黑体" w:eastAsia="黑体" w:cs="方正小标宋_GBK"/>
          <w:bCs/>
          <w:color w:val="000000"/>
          <w:sz w:val="30"/>
          <w:szCs w:val="44"/>
        </w:rPr>
        <w:t>3</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25</w:t>
      </w:r>
      <w:r>
        <w:rPr>
          <w:rFonts w:hint="eastAsia" w:ascii="黑体" w:hAnsi="黑体" w:eastAsia="黑体" w:cs="方正小标宋_GBK"/>
          <w:bCs/>
          <w:color w:val="000000"/>
          <w:sz w:val="30"/>
          <w:szCs w:val="44"/>
        </w:rPr>
        <w:t>日</w:t>
      </w:r>
    </w:p>
    <w:tbl>
      <w:tblPr>
        <w:tblStyle w:val="15"/>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624"/>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tblHeader/>
          <w:jc w:val="center"/>
        </w:trPr>
        <w:tc>
          <w:tcPr>
            <w:tcW w:w="824" w:type="dxa"/>
            <w:noWrap w:val="0"/>
            <w:vAlign w:val="center"/>
          </w:tcPr>
          <w:p>
            <w:pPr>
              <w:spacing w:line="240" w:lineRule="auto"/>
              <w:jc w:val="center"/>
              <w:rPr>
                <w:rFonts w:ascii="仿宋_GB2312" w:hAnsi="仿宋" w:eastAsia="仿宋_GB2312"/>
                <w:b/>
                <w:color w:val="000000"/>
                <w:szCs w:val="21"/>
              </w:rPr>
            </w:pPr>
            <w:r>
              <w:rPr>
                <w:rFonts w:hint="eastAsia" w:ascii="仿宋_GB2312" w:hAnsi="仿宋" w:eastAsia="仿宋_GB2312"/>
                <w:b/>
                <w:color w:val="000000"/>
                <w:szCs w:val="21"/>
              </w:rPr>
              <w:t>序号</w:t>
            </w:r>
          </w:p>
        </w:tc>
        <w:tc>
          <w:tcPr>
            <w:tcW w:w="1624" w:type="dxa"/>
            <w:noWrap w:val="0"/>
            <w:vAlign w:val="center"/>
          </w:tcPr>
          <w:p>
            <w:pPr>
              <w:spacing w:line="240" w:lineRule="auto"/>
              <w:jc w:val="center"/>
              <w:rPr>
                <w:rFonts w:ascii="仿宋_GB2312" w:hAnsi="仿宋" w:eastAsia="仿宋_GB2312"/>
                <w:b/>
                <w:color w:val="000000"/>
                <w:szCs w:val="21"/>
              </w:rPr>
            </w:pPr>
            <w:r>
              <w:rPr>
                <w:rFonts w:hint="eastAsia" w:ascii="仿宋_GB2312" w:hAnsi="仿宋" w:eastAsia="仿宋_GB2312"/>
                <w:b/>
                <w:color w:val="000000"/>
                <w:szCs w:val="21"/>
              </w:rPr>
              <w:t>政策文件</w:t>
            </w:r>
          </w:p>
        </w:tc>
        <w:tc>
          <w:tcPr>
            <w:tcW w:w="6308" w:type="dxa"/>
            <w:noWrap w:val="0"/>
            <w:vAlign w:val="center"/>
          </w:tcPr>
          <w:p>
            <w:pPr>
              <w:spacing w:line="240" w:lineRule="auto"/>
              <w:jc w:val="center"/>
              <w:rPr>
                <w:rFonts w:ascii="仿宋_GB2312" w:hAnsi="仿宋" w:eastAsia="仿宋_GB2312"/>
                <w:b/>
                <w:color w:val="000000"/>
                <w:szCs w:val="21"/>
              </w:rPr>
            </w:pPr>
            <w:r>
              <w:rPr>
                <w:rFonts w:hint="eastAsia" w:ascii="仿宋_GB2312" w:hAnsi="仿宋" w:eastAsia="仿宋_GB2312"/>
                <w:b/>
                <w:color w:val="000000"/>
                <w:szCs w:val="21"/>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24" w:type="dxa"/>
            <w:noWrap w:val="0"/>
            <w:vAlign w:val="center"/>
          </w:tcPr>
          <w:p>
            <w:pPr>
              <w:bidi w:val="0"/>
              <w:jc w:val="center"/>
              <w:rPr>
                <w:rFonts w:hint="default"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1</w:t>
            </w:r>
          </w:p>
        </w:tc>
        <w:tc>
          <w:tcPr>
            <w:tcW w:w="1624" w:type="dxa"/>
            <w:noWrap w:val="0"/>
            <w:vAlign w:val="center"/>
          </w:tcPr>
          <w:p>
            <w:pPr>
              <w:bidi w:val="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关于进一步加大增值税期末留抵退税政策实施力度的公告</w:t>
            </w:r>
            <w:r>
              <w:rPr>
                <w:rFonts w:hint="eastAsia" w:ascii="仿宋_GB2312" w:hAnsi="仿宋_GB2312" w:eastAsia="仿宋_GB2312" w:cs="仿宋_GB2312"/>
                <w:highlight w:val="none"/>
                <w:lang w:eastAsia="zh-CN"/>
              </w:rPr>
              <w:t>》（</w:t>
            </w:r>
            <w:r>
              <w:rPr>
                <w:rFonts w:hint="default" w:ascii="仿宋_GB2312" w:hAnsi="仿宋_GB2312" w:eastAsia="仿宋_GB2312" w:cs="仿宋_GB2312"/>
                <w:highlight w:val="none"/>
              </w:rPr>
              <w:t>财政部 税务总局公告2022年第14号</w:t>
            </w:r>
            <w:r>
              <w:rPr>
                <w:rFonts w:hint="eastAsia" w:ascii="仿宋_GB2312" w:hAnsi="仿宋_GB2312" w:eastAsia="仿宋_GB2312" w:cs="仿宋_GB2312"/>
                <w:highlight w:val="none"/>
                <w:lang w:eastAsia="zh-CN"/>
              </w:rPr>
              <w:t>）</w:t>
            </w:r>
          </w:p>
          <w:p>
            <w:pPr>
              <w:bidi w:val="0"/>
              <w:rPr>
                <w:rFonts w:hint="eastAsia" w:ascii="仿宋_GB2312" w:hAnsi="仿宋_GB2312" w:eastAsia="仿宋_GB2312" w:cs="仿宋_GB2312"/>
                <w:kern w:val="2"/>
                <w:sz w:val="21"/>
                <w:szCs w:val="24"/>
                <w:highlight w:val="none"/>
                <w:lang w:val="en-US" w:eastAsia="zh-CN" w:bidi="ar-SA"/>
              </w:rPr>
            </w:pPr>
          </w:p>
        </w:tc>
        <w:tc>
          <w:tcPr>
            <w:tcW w:w="6308" w:type="dxa"/>
            <w:noWrap w:val="0"/>
            <w:vAlign w:val="center"/>
          </w:tcPr>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加大小微企业增值税期末留抵退税政策力度，将先进制造业按月全额退还增值税增量留抵税额政策范围扩大至符合条件的小微企业（含个体工商户，下同），并一次性退还小微企业存量留抵税额。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）符合条件的小微企业，可以自2022年4月纳税申报期起向主管税务机关申请退还增量留抵税额。在2022年12月31日前，退税条件按照本公告第三条规定执行。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）符合条件的微型企业，可以自2022年4月纳税申报期起向主管税务机关申请一次性退还存量留抵税额；符合条件的小型企业，可以自2022年5月纳税申报期起向主管税务机关申请一次性退还存量留抵税额。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）符合条件的制造业等行业企业，可以自2022年4月纳税申报期起向主管税务机关申请退还增量留抵税额。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适用本公告政策的纳税人需同时符合以下条件：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）纳税信用等级为A级或者B级；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）申请退税前36个月未发生骗取留抵退税、骗取出口退税或虚开增值税专用发票情形；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）申请退税前36个月未因偷税被税务机关处罚两次及以上；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）2019年4月1日起未享受即征即退、先征后返（退）政策。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本公告所称增量留抵税额，区分以下情形确定：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）纳税人获得一次性存量留抵退税前，增量留抵税额为当期期末留抵税额与2019年3月31日相比新增加的留抵税额。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）纳税人获得一次性存量留抵退税后，增量留抵税额为当期期末留抵税额。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本公告所称存量留抵税额，区分以下情形确定：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）纳税人获得一次性存量留抵退税后，存量留抵税额为零。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本公告所称中型企业、小型企业和微型企业，按照《中小企业划型标准规定》（工信部联企业〔2011〕300号）和《金融业企业划型标准规定》（银发〔2015〕309号）中的营业收入指标、资产总额指标确定。</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　　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　　本公告所称大型企业，是指除上述中型企业、小型企业和微型企业外的其他企业。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适用本公告政策的纳税人，按照以下公式计算允许退还的留抵税额：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允许退还的增量留抵税额=增量留抵税额×进项构成比例×100%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允许退还的存量留抵税额=存量留抵税额×进项构成比例×100%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pPr>
              <w:bidi w:val="0"/>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本公告自2022年4月1日施行。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24" w:type="dxa"/>
            <w:noWrap w:val="0"/>
            <w:vAlign w:val="center"/>
          </w:tcPr>
          <w:p>
            <w:pPr>
              <w:bidi w:val="0"/>
              <w:jc w:val="center"/>
              <w:rPr>
                <w:rFonts w:hint="default"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2</w:t>
            </w:r>
          </w:p>
        </w:tc>
        <w:tc>
          <w:tcPr>
            <w:tcW w:w="1624" w:type="dxa"/>
            <w:noWrap w:val="0"/>
            <w:vAlign w:val="center"/>
          </w:tcPr>
          <w:p>
            <w:pPr>
              <w:bidi w:val="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关于下达2022年支持小微企业留抵退税有关专项资金预算的通知</w:t>
            </w:r>
            <w:r>
              <w:rPr>
                <w:rFonts w:hint="eastAsia" w:ascii="仿宋_GB2312" w:hAnsi="仿宋_GB2312" w:eastAsia="仿宋_GB2312" w:cs="仿宋_GB2312"/>
                <w:highlight w:val="none"/>
                <w:lang w:eastAsia="zh-CN"/>
              </w:rPr>
              <w:t>》</w:t>
            </w:r>
          </w:p>
          <w:p>
            <w:pPr>
              <w:bidi w:val="0"/>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财预〔2022〕34号</w:t>
            </w:r>
            <w:r>
              <w:rPr>
                <w:rFonts w:hint="eastAsia" w:ascii="仿宋_GB2312" w:hAnsi="仿宋_GB2312" w:eastAsia="仿宋_GB2312" w:cs="仿宋_GB2312"/>
                <w:highlight w:val="none"/>
                <w:lang w:eastAsia="zh-CN"/>
              </w:rPr>
              <w:t>）</w:t>
            </w:r>
          </w:p>
        </w:tc>
        <w:tc>
          <w:tcPr>
            <w:tcW w:w="6308" w:type="dxa"/>
            <w:noWrap w:val="0"/>
            <w:vAlign w:val="center"/>
          </w:tcPr>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为支持地方落实好退税减税政策，中央财政安排专项资金用于弥补地方政策性减收，缓解财政收支矛盾，促进县区财政平稳运行。现下达2022年支持小微企业留抵退税有关专项资金预算指标（资金额度、科目、项目代码详见附件），用于支持小微企业留抵退税。具体包括新出台小微企业留抵退税和原有政策实施的小微企业制度性留抵退税。年终根据地方实际留抵退税需要进行清算。其他新出台留抵退税政策专项资金和其他退税减税降费专项资金另行下达。 </w:t>
            </w:r>
          </w:p>
          <w:p>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该项补助纳入直达资金范围，省市县均可留用，标识为“01中央直达资金”，该标识贯穿资金分配、拨付、使用等整个环节，且保持不变。</w:t>
            </w:r>
          </w:p>
          <w:p>
            <w:pPr>
              <w:bidi w:val="0"/>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在下达直达资金时，应单独下达预算指标文件，并保持中央财政直达资金标识不变，同时在指标管理系统中及时登录有关指标和直达资金标识，导入直达资金监控系统，确保数据真实、账目清晰、流向明确。将中央财政直达资金分解落实到基层财政部门时，对于资金来源既包含中央财政直达资金又包含其他资金的，应在预算指标文件、指标管理系统中按资金明细来源分别列示，在指标系统中分别登录，并将中央财政直达资金部分导入直达资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default" w:ascii="仿宋_GB2312" w:hAnsi="仿宋" w:eastAsia="仿宋_GB2312"/>
                <w:bCs/>
                <w:color w:val="000000"/>
                <w:szCs w:val="21"/>
                <w:highlight w:val="none"/>
                <w:lang w:val="en-US" w:eastAsia="zh-CN"/>
              </w:rPr>
            </w:pPr>
            <w:r>
              <w:rPr>
                <w:rFonts w:hint="eastAsia" w:ascii="仿宋_GB2312" w:hAnsi="仿宋" w:eastAsia="仿宋_GB2312"/>
                <w:bCs/>
                <w:color w:val="000000"/>
                <w:szCs w:val="21"/>
                <w:highlight w:val="none"/>
                <w:lang w:val="en-US" w:eastAsia="zh-CN"/>
              </w:rPr>
              <w:t>3</w:t>
            </w:r>
          </w:p>
        </w:tc>
        <w:tc>
          <w:tcPr>
            <w:tcW w:w="1624" w:type="dxa"/>
            <w:noWrap w:val="0"/>
            <w:vAlign w:val="center"/>
          </w:tcPr>
          <w:p>
            <w:pPr>
              <w:spacing w:line="240" w:lineRule="auto"/>
              <w:jc w:val="center"/>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《财政部 税务总局关于进一步实施小微企业所得税优惠政策的公告》（财政部 税务总局公告2022年第13号）</w:t>
            </w:r>
          </w:p>
        </w:tc>
        <w:tc>
          <w:tcPr>
            <w:tcW w:w="6308" w:type="dxa"/>
            <w:noWrap w:val="0"/>
            <w:vAlign w:val="center"/>
          </w:tcPr>
          <w:p>
            <w:pPr>
              <w:spacing w:line="240" w:lineRule="auto"/>
              <w:jc w:val="left"/>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1.对小型微利企业年应纳税所得额超过100万元但不超过300万元的部分，减按25%计入应纳税所得额，按20%的税率缴纳企业所得税。</w:t>
            </w:r>
          </w:p>
          <w:p>
            <w:pPr>
              <w:spacing w:line="240" w:lineRule="auto"/>
              <w:jc w:val="left"/>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2.本公告所称小型微利企业，是指从事国家非限制和禁止行业，且同时符合年度应纳税所得额不超过300万元、从业人数不超过300人、资产总额不超过5000万元等三个条件的企业。</w:t>
            </w:r>
          </w:p>
          <w:p>
            <w:pPr>
              <w:spacing w:line="240" w:lineRule="auto"/>
              <w:jc w:val="left"/>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从业人数，包括与企业建立劳动关系的职工人数和企业接受的劳务派遣用工人数。所称从业人数和资产总额指标，应按企业全年的季度平均值确定。年度中间开业或者终止经营活动的，以其实际经营期作为一个纳税年度确定上述相关指标。</w:t>
            </w:r>
          </w:p>
          <w:p>
            <w:pPr>
              <w:spacing w:line="240" w:lineRule="auto"/>
              <w:jc w:val="left"/>
              <w:rPr>
                <w:rFonts w:hint="eastAsia" w:ascii="仿宋_GB2312" w:hAnsi="仿宋" w:eastAsia="仿宋_GB2312"/>
                <w:bCs/>
                <w:color w:val="000000"/>
                <w:szCs w:val="21"/>
                <w:highlight w:val="none"/>
              </w:rPr>
            </w:pPr>
            <w:r>
              <w:rPr>
                <w:rFonts w:hint="eastAsia" w:ascii="仿宋_GB2312" w:hAnsi="仿宋" w:eastAsia="仿宋_GB2312"/>
                <w:bCs/>
                <w:color w:val="000000"/>
                <w:szCs w:val="21"/>
                <w:highlight w:val="none"/>
              </w:rPr>
              <w:t>3.本公告执行期限为2022年1月1日至2024年12月31日。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eastAsia" w:ascii="仿宋_GB2312" w:hAnsi="仿宋" w:eastAsia="仿宋_GB2312"/>
                <w:b/>
                <w:color w:val="000000"/>
                <w:szCs w:val="21"/>
                <w:lang w:eastAsia="zh-CN"/>
              </w:rPr>
            </w:pPr>
            <w:r>
              <w:rPr>
                <w:rFonts w:hint="eastAsia" w:ascii="仿宋_GB2312" w:hAnsi="仿宋" w:eastAsia="仿宋_GB2312"/>
                <w:bCs/>
                <w:color w:val="000000"/>
                <w:szCs w:val="21"/>
                <w:lang w:val="en-US" w:eastAsia="zh-CN"/>
              </w:rPr>
              <w:t>4</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《国家税务总局关于进一步实施小微企业“六税两费”减免政策有关征管问题的公告》（国家税务总局公告2022年第3号）</w:t>
            </w:r>
          </w:p>
        </w:tc>
        <w:tc>
          <w:tcPr>
            <w:tcW w:w="6308" w:type="dxa"/>
            <w:noWrap w:val="0"/>
            <w:vAlign w:val="center"/>
          </w:tcPr>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1.关于小型微利企业“六税两费”减免政策的适用。</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1）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2）登记为增值税一般纳税人的新设立企业，从事国家非限制和禁止行业，且同时符合申报期上月末从业人数不超过300人、资产总额不超过5000万元两项条件的，按规定办理首次汇算清缴申报前，可按照小型微利企业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按规定办理首次汇算清缴后确定不属于小型微利企业的一般纳税人，自办理汇算清缴的次月1日至次年6月30日，不得再申报享受“六税两费”减免优惠；按次申报的，自首次办理汇算清缴确定不属于小型微利企业之日起至次年6月30日，不得再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新设立企业按规定办理首次汇算清缴后，按规定申报当月及之前的“六税两费”的，依据首次汇算清缴结果确定是否可申报享受减免优惠。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新设立企业按规定办理首次汇算清缴申报前，已按规定申报缴纳“六税两费”的，不再根据首次汇算清缴结果进行更正。</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3）登记为增值税一般纳税人的小型微利企业、新设立企业，逾期办理或更正汇算清缴申报的，应当依据逾期办理或更正申报的结果，按照本条第（一）项、第（二）项规定的“六税两费”减免税期间申报享受减免优惠，并应当对“六税两费”申报进行相应更正。</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2. 关于增值税小规模纳税人转为一般纳税人时“六税两费”减免政策的适用。增值税小规模纳税人按规定登记为一般纳税人的，自一般纳税人生效之日起不再按照增值税小规模纳税人适用“六税两费”减免政策。增值税年应税销售额超过小规模纳税人标准应当登记为一般纳税人而未登记，经税务机关通知，逾期仍不办理登记的，自逾期次月起不再按照增值税小规模纳税人申报享受“六税两费”减免优惠。上述纳税人如果符合本公告第一条规定的小型微利企业和新设立企业的情形，或登记为个体工商户，仍可申报享受“六税两费”减免优惠。</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3.关于纳税人未及时申报享受“六税两费”减免优惠的处理方式。纳税人符合条件但未及时申报享受“六税两费”减免优惠的，可依法申请抵减以后纳税期的应纳税费款或者申请退还。</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4.本公告执行期限为2022年1月1日至2024年12月31日。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hint="eastAsia" w:ascii="仿宋_GB2312" w:hAnsi="仿宋" w:eastAsia="仿宋_GB2312"/>
                <w:bCs/>
                <w:color w:val="000000"/>
                <w:szCs w:val="21"/>
                <w:lang w:val="en-US" w:eastAsia="zh-CN"/>
              </w:rPr>
              <w:t>5</w:t>
            </w:r>
          </w:p>
        </w:tc>
        <w:tc>
          <w:tcPr>
            <w:tcW w:w="1624" w:type="dxa"/>
            <w:noWrap w:val="0"/>
            <w:vAlign w:val="center"/>
          </w:tcPr>
          <w:p>
            <w:pPr>
              <w:pStyle w:val="3"/>
              <w:spacing w:line="240" w:lineRule="auto"/>
              <w:ind w:left="0" w:leftChars="0"/>
              <w:rPr>
                <w:rFonts w:ascii="仿宋_GB2312" w:hAnsi="仿宋" w:eastAsia="仿宋_GB2312"/>
                <w:bCs/>
                <w:color w:val="000000"/>
                <w:szCs w:val="21"/>
              </w:rPr>
            </w:pPr>
            <w:r>
              <w:rPr>
                <w:rFonts w:hint="eastAsia" w:ascii="仿宋_GB2312" w:hAnsi="仿宋" w:eastAsia="仿宋_GB2312"/>
                <w:bCs/>
                <w:color w:val="000000"/>
                <w:szCs w:val="21"/>
              </w:rPr>
              <w:t>《财政部 税务总局关于促进服务业领域困难行业纾困发展有关增值税政策的公告》（财政部 税务总局公告2022年第 11号）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ascii="仿宋_GB2312" w:hAnsi="仿宋" w:eastAsia="仿宋_GB2312"/>
                <w:bCs/>
                <w:color w:val="000000"/>
                <w:szCs w:val="21"/>
              </w:rPr>
              <w:t>.</w:t>
            </w:r>
            <w:r>
              <w:rPr>
                <w:rFonts w:hint="eastAsia"/>
              </w:rPr>
              <w:t xml:space="preserve"> </w:t>
            </w:r>
            <w:r>
              <w:rPr>
                <w:rFonts w:hint="eastAsia" w:ascii="仿宋_GB2312" w:hAnsi="仿宋" w:eastAsia="仿宋_GB2312"/>
                <w:bCs/>
                <w:color w:val="000000"/>
                <w:szCs w:val="21"/>
              </w:rPr>
              <w:t xml:space="preserve">《财政部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 </w:t>
            </w:r>
          </w:p>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2</w:t>
            </w:r>
            <w:r>
              <w:rPr>
                <w:rFonts w:ascii="仿宋_GB2312" w:hAnsi="仿宋" w:eastAsia="仿宋_GB2312"/>
                <w:bCs/>
                <w:color w:val="000000"/>
                <w:szCs w:val="21"/>
              </w:rPr>
              <w:t>.</w:t>
            </w:r>
            <w:r>
              <w:rPr>
                <w:rFonts w:hint="eastAsia" w:ascii="仿宋_GB2312" w:hAnsi="仿宋" w:eastAsia="仿宋_GB2312"/>
                <w:bCs/>
                <w:color w:val="000000"/>
                <w:szCs w:val="21"/>
              </w:rPr>
              <w:t xml:space="preserve">自2022年1月1日至2022年12月31日，航空和铁路运输企业分支机构暂停预缴增值税。2022年2月纳税申报期至文件发布之日已预缴的增值税予以退还。 </w:t>
            </w:r>
          </w:p>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3</w:t>
            </w:r>
            <w:r>
              <w:rPr>
                <w:rFonts w:ascii="仿宋_GB2312" w:hAnsi="仿宋" w:eastAsia="仿宋_GB2312"/>
                <w:bCs/>
                <w:color w:val="000000"/>
                <w:szCs w:val="21"/>
              </w:rPr>
              <w:t>.</w:t>
            </w:r>
            <w:r>
              <w:rPr>
                <w:rFonts w:hint="eastAsia" w:ascii="仿宋_GB2312" w:hAnsi="仿宋" w:eastAsia="仿宋_GB2312"/>
                <w:bCs/>
                <w:color w:val="000000"/>
                <w:szCs w:val="21"/>
              </w:rPr>
              <w:t>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hint="eastAsia" w:ascii="仿宋_GB2312" w:hAnsi="仿宋" w:eastAsia="仿宋_GB2312"/>
                <w:bCs/>
                <w:color w:val="000000"/>
                <w:szCs w:val="21"/>
                <w:lang w:val="en-US" w:eastAsia="zh-CN"/>
              </w:rPr>
              <w:t>6</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税务总局关于中小微企业设备器具所得税税前扣除有关政策的公告》（财政部 税务总局公告2022年第12号）</w:t>
            </w:r>
          </w:p>
        </w:tc>
        <w:tc>
          <w:tcPr>
            <w:tcW w:w="6308" w:type="dxa"/>
            <w:noWrap w:val="0"/>
            <w:vAlign w:val="center"/>
          </w:tcPr>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1</w:t>
            </w:r>
            <w:r>
              <w:rPr>
                <w:rFonts w:ascii="仿宋_GB2312" w:hAnsi="仿宋" w:eastAsia="仿宋_GB2312"/>
                <w:bCs/>
                <w:color w:val="000000"/>
                <w:szCs w:val="21"/>
                <w:highlight w:val="none"/>
              </w:rPr>
              <w:t>.</w:t>
            </w:r>
            <w:r>
              <w:rPr>
                <w:rFonts w:hint="eastAsia" w:ascii="仿宋_GB2312" w:hAnsi="仿宋" w:eastAsia="仿宋_GB2312"/>
                <w:bCs/>
                <w:color w:val="000000"/>
                <w:szCs w:val="21"/>
                <w:highlight w:val="none"/>
              </w:rPr>
              <w:t xml:space="preserve">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企业选择适用上述政策当年不足扣除形成的亏损，可在以后5个纳税年度结转弥补，享受其他延长亏损结转年限政策的企业可按现行规定执行。</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 xml:space="preserve">2.中小微企业可按季（月）在预缴申报时享受上述政策。本公告发布前企业在2022年已购置的设备、器具，可在本公告发布后的预缴申报、年度汇算清缴时享受。 </w:t>
            </w:r>
          </w:p>
          <w:p>
            <w:pPr>
              <w:spacing w:line="240" w:lineRule="auto"/>
              <w:jc w:val="left"/>
              <w:rPr>
                <w:rFonts w:ascii="仿宋_GB2312" w:hAnsi="仿宋" w:eastAsia="仿宋_GB2312"/>
                <w:bCs/>
                <w:color w:val="000000"/>
                <w:szCs w:val="21"/>
                <w:highlight w:val="none"/>
              </w:rPr>
            </w:pPr>
            <w:r>
              <w:rPr>
                <w:rFonts w:hint="eastAsia" w:ascii="仿宋_GB2312" w:hAnsi="仿宋" w:eastAsia="仿宋_GB2312"/>
                <w:bCs/>
                <w:color w:val="000000"/>
                <w:szCs w:val="21"/>
                <w:highlight w:val="none"/>
              </w:rPr>
              <w:t>3.中小微企业可根据自身生产经营核算需要自行选择享受上述政策，当年度未选择享受的，以后年度不得再变更享受。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hint="eastAsia" w:ascii="仿宋_GB2312" w:hAnsi="仿宋" w:eastAsia="仿宋_GB2312"/>
                <w:bCs/>
                <w:color w:val="000000"/>
                <w:szCs w:val="21"/>
                <w:lang w:val="en-US" w:eastAsia="zh-CN"/>
              </w:rPr>
              <w:t>7</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税务总局关于进一步实施小微企业“六税两费”减免政策的公告》（财政部 税务总局公告2022年第 10 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ascii="仿宋_GB2312" w:hAnsi="仿宋" w:eastAsia="仿宋_GB2312"/>
                <w:bCs/>
                <w:color w:val="000000"/>
                <w:szCs w:val="21"/>
              </w:rPr>
              <w:t>.</w:t>
            </w:r>
            <w:r>
              <w:rPr>
                <w:rFonts w:hint="eastAsia" w:ascii="仿宋_GB2312" w:hAnsi="仿宋" w:eastAsia="仿宋_GB2312"/>
                <w:bCs/>
                <w:color w:val="000000"/>
                <w:szCs w:val="21"/>
              </w:rPr>
              <w:t xml:space="preserve">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 </w:t>
            </w:r>
          </w:p>
          <w:p>
            <w:pPr>
              <w:spacing w:line="240" w:lineRule="auto"/>
              <w:jc w:val="left"/>
              <w:rPr>
                <w:rFonts w:ascii="仿宋_GB2312" w:hAnsi="仿宋" w:eastAsia="仿宋_GB2312"/>
                <w:bCs/>
                <w:color w:val="000000"/>
                <w:szCs w:val="21"/>
              </w:rPr>
            </w:pPr>
            <w:r>
              <w:rPr>
                <w:rFonts w:ascii="仿宋_GB2312" w:hAnsi="仿宋" w:eastAsia="仿宋_GB2312"/>
                <w:bCs/>
                <w:color w:val="000000"/>
                <w:szCs w:val="21"/>
              </w:rPr>
              <w:t>2.</w:t>
            </w:r>
            <w:r>
              <w:rPr>
                <w:rFonts w:hint="eastAsia" w:ascii="仿宋_GB2312" w:hAnsi="仿宋" w:eastAsia="仿宋_GB2312"/>
                <w:bCs/>
                <w:color w:val="000000"/>
                <w:szCs w:val="21"/>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pStyle w:val="2"/>
              <w:ind w:left="0" w:leftChars="0" w:firstLine="0" w:firstLineChars="0"/>
              <w:jc w:val="left"/>
            </w:pPr>
            <w:r>
              <w:rPr>
                <w:rFonts w:hint="eastAsia" w:ascii="仿宋_GB2312" w:hAnsi="仿宋" w:eastAsia="仿宋_GB2312"/>
                <w:bCs/>
                <w:color w:val="000000"/>
                <w:szCs w:val="21"/>
              </w:rPr>
              <w:t>3</w:t>
            </w:r>
            <w:r>
              <w:rPr>
                <w:rFonts w:ascii="仿宋_GB2312" w:hAnsi="仿宋" w:eastAsia="仿宋_GB2312"/>
                <w:bCs/>
                <w:color w:val="000000"/>
                <w:szCs w:val="21"/>
              </w:rPr>
              <w:t>.</w:t>
            </w:r>
            <w:r>
              <w:rPr>
                <w:rFonts w:hint="eastAsia" w:ascii="仿宋_GB2312" w:hAnsi="仿宋" w:eastAsia="仿宋_GB2312"/>
                <w:bCs/>
                <w:color w:val="000000"/>
                <w:szCs w:val="21"/>
              </w:rPr>
              <w:t>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eastAsia" w:ascii="仿宋_GB2312" w:hAnsi="仿宋" w:eastAsia="仿宋_GB2312"/>
                <w:b/>
                <w:color w:val="000000"/>
                <w:szCs w:val="21"/>
                <w:lang w:eastAsia="zh-CN"/>
              </w:rPr>
            </w:pPr>
            <w:r>
              <w:rPr>
                <w:rFonts w:hint="eastAsia" w:ascii="仿宋_GB2312" w:hAnsi="仿宋" w:eastAsia="仿宋_GB2312"/>
                <w:bCs/>
                <w:color w:val="000000"/>
                <w:szCs w:val="21"/>
                <w:lang w:val="en-US" w:eastAsia="zh-CN"/>
              </w:rPr>
              <w:t>8</w:t>
            </w:r>
          </w:p>
        </w:tc>
        <w:tc>
          <w:tcPr>
            <w:tcW w:w="1624" w:type="dxa"/>
            <w:noWrap w:val="0"/>
            <w:vAlign w:val="center"/>
          </w:tcPr>
          <w:p>
            <w:pPr>
              <w:spacing w:line="240" w:lineRule="auto"/>
              <w:jc w:val="center"/>
              <w:rPr>
                <w:rFonts w:ascii="仿宋_GB2312" w:hAnsi="仿宋" w:eastAsia="仿宋_GB2312"/>
                <w:b/>
                <w:color w:val="000000"/>
                <w:szCs w:val="21"/>
              </w:rPr>
            </w:pPr>
            <w:r>
              <w:rPr>
                <w:rFonts w:hint="eastAsia" w:ascii="仿宋_GB2312" w:hAnsi="仿宋" w:eastAsia="仿宋_GB2312"/>
                <w:bCs/>
                <w:color w:val="000000"/>
                <w:szCs w:val="21"/>
              </w:rPr>
              <w:t>《国家发展改革委等12部门关于印发促进工业经济平稳增长的若干政策的通知》（发改产业〔2022〕273号）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ascii="仿宋_GB2312" w:hAnsi="仿宋" w:eastAsia="仿宋_GB2312"/>
                <w:bCs/>
                <w:color w:val="000000"/>
                <w:szCs w:val="21"/>
              </w:rPr>
              <w:t>.</w:t>
            </w:r>
            <w:r>
              <w:rPr>
                <w:rFonts w:hint="eastAsia" w:ascii="仿宋_GB2312" w:hAnsi="仿宋" w:eastAsia="仿宋_GB2312"/>
                <w:bCs/>
                <w:color w:val="000000"/>
                <w:szCs w:val="21"/>
              </w:rPr>
              <w:t xml:space="preserve"> 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pPr>
              <w:pStyle w:val="2"/>
              <w:spacing w:after="0" w:line="240" w:lineRule="auto"/>
              <w:ind w:left="0" w:leftChars="0" w:firstLine="0" w:firstLineChars="0"/>
              <w:rPr>
                <w:rFonts w:ascii="仿宋_GB2312" w:hAnsi="仿宋" w:eastAsia="仿宋_GB2312"/>
                <w:bCs/>
                <w:color w:val="000000"/>
                <w:szCs w:val="21"/>
              </w:rPr>
            </w:pPr>
            <w:r>
              <w:rPr>
                <w:rFonts w:ascii="仿宋_GB2312" w:hAnsi="仿宋" w:eastAsia="仿宋_GB2312"/>
                <w:bCs/>
                <w:color w:val="000000"/>
                <w:szCs w:val="21"/>
              </w:rPr>
              <w:t>2.</w:t>
            </w:r>
            <w:r>
              <w:rPr>
                <w:rFonts w:hint="eastAsia" w:ascii="仿宋_GB2312" w:hAnsi="仿宋" w:eastAsia="仿宋_GB2312"/>
                <w:bCs/>
                <w:color w:val="000000"/>
                <w:szCs w:val="21"/>
              </w:rPr>
              <w:t xml:space="preserve"> 扩大地方“六税两费”减免政策适用主体范围，加大小型微利企业所得税减免力度。</w:t>
            </w:r>
          </w:p>
          <w:p>
            <w:pPr>
              <w:pStyle w:val="2"/>
              <w:spacing w:after="0" w:line="240" w:lineRule="auto"/>
              <w:ind w:left="0" w:leftChars="0" w:firstLine="0" w:firstLineChars="0"/>
              <w:rPr>
                <w:rFonts w:ascii="仿宋_GB2312" w:hAnsi="仿宋" w:eastAsia="仿宋_GB2312"/>
                <w:bCs/>
                <w:color w:val="000000"/>
                <w:szCs w:val="21"/>
              </w:rPr>
            </w:pPr>
            <w:r>
              <w:rPr>
                <w:rFonts w:ascii="仿宋_GB2312" w:hAnsi="仿宋" w:eastAsia="仿宋_GB2312"/>
                <w:bCs/>
                <w:color w:val="000000"/>
                <w:szCs w:val="21"/>
              </w:rPr>
              <w:t>3.</w:t>
            </w:r>
            <w:r>
              <w:rPr>
                <w:rFonts w:hint="eastAsia" w:ascii="仿宋_GB2312" w:hAnsi="仿宋" w:eastAsia="仿宋_GB2312"/>
                <w:bCs/>
                <w:color w:val="000000"/>
                <w:szCs w:val="21"/>
              </w:rPr>
              <w:t>降低企业社保负担，</w:t>
            </w:r>
            <w:r>
              <w:rPr>
                <w:rFonts w:ascii="仿宋_GB2312" w:hAnsi="仿宋" w:eastAsia="仿宋_GB2312"/>
                <w:bCs/>
                <w:color w:val="000000"/>
                <w:szCs w:val="21"/>
              </w:rPr>
              <w:t>2022</w:t>
            </w:r>
            <w:r>
              <w:rPr>
                <w:rFonts w:hint="eastAsia" w:ascii="仿宋_GB2312" w:hAnsi="仿宋" w:eastAsia="仿宋_GB2312"/>
                <w:bCs/>
                <w:color w:val="000000"/>
                <w:szCs w:val="21"/>
              </w:rPr>
              <w:t>年延续实施阶段性降低失业保险、工伤保险费率政策。</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4</w:t>
            </w:r>
            <w:r>
              <w:rPr>
                <w:rFonts w:ascii="仿宋_GB2312" w:hAnsi="仿宋" w:eastAsia="仿宋_GB2312"/>
                <w:bCs/>
                <w:color w:val="000000"/>
                <w:szCs w:val="21"/>
              </w:rPr>
              <w:t>.</w:t>
            </w:r>
            <w:r>
              <w:rPr>
                <w:rFonts w:hint="eastAsia"/>
              </w:rPr>
              <w:t xml:space="preserve"> </w:t>
            </w:r>
            <w:r>
              <w:rPr>
                <w:rFonts w:hint="eastAsia" w:ascii="仿宋_GB2312" w:hAnsi="仿宋" w:eastAsia="仿宋_GB2312"/>
                <w:bCs/>
                <w:color w:val="000000"/>
                <w:szCs w:val="21"/>
              </w:rPr>
              <w:t>2022年人民银行对符合条件的地方法人银行，按普惠小微贷款余额增量的1%提供激励资金；符合条件的地方法人银行发放普惠小微信用贷款，可向人民银行申请再贷款优惠资金支持。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hint="eastAsia" w:ascii="仿宋_GB2312" w:hAnsi="仿宋" w:eastAsia="仿宋_GB2312"/>
                <w:bCs/>
                <w:color w:val="000000"/>
                <w:szCs w:val="21"/>
                <w:lang w:val="en-US" w:eastAsia="zh-CN"/>
              </w:rPr>
              <w:t>9</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工业和信息化部 科技部 发展改革委关于2022年新能源汽车推广应用财政补贴政策的通知》（财建〔2021〕466号）</w:t>
            </w:r>
          </w:p>
        </w:tc>
        <w:tc>
          <w:tcPr>
            <w:tcW w:w="6308" w:type="dxa"/>
            <w:noWrap w:val="0"/>
            <w:vAlign w:val="center"/>
          </w:tcPr>
          <w:p>
            <w:pPr>
              <w:spacing w:line="240" w:lineRule="auto"/>
              <w:jc w:val="left"/>
              <w:rPr>
                <w:rFonts w:ascii="仿宋_GB2312" w:hAnsi="仿宋" w:eastAsia="仿宋_GB2312"/>
                <w:bCs/>
                <w:color w:val="000000"/>
                <w:szCs w:val="21"/>
              </w:rPr>
            </w:pPr>
            <w:r>
              <w:rPr>
                <w:rFonts w:ascii="仿宋_GB2312" w:hAnsi="仿宋" w:eastAsia="仿宋_GB2312"/>
                <w:bCs/>
                <w:color w:val="000000"/>
                <w:szCs w:val="21"/>
              </w:rPr>
              <w:t>1.</w:t>
            </w:r>
            <w:r>
              <w:rPr>
                <w:rFonts w:hint="eastAsia" w:ascii="仿宋_GB2312" w:hAnsi="仿宋" w:eastAsia="仿宋_GB2312"/>
                <w:bCs/>
                <w:color w:val="000000"/>
                <w:szCs w:val="21"/>
              </w:rPr>
              <w:t>2022年，新能源汽车补贴标准在2021年基础上退坡30%；城市公交、道路客运、出租（含网约车）、环卫、城市物流配送、邮政快递、民航机场以及党政机关公务领域符合要求的车辆，补贴标准在2021年基础上退坡20%。</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2</w:t>
            </w:r>
            <w:r>
              <w:rPr>
                <w:rFonts w:ascii="仿宋_GB2312" w:hAnsi="仿宋" w:eastAsia="仿宋_GB2312"/>
                <w:bCs/>
                <w:color w:val="000000"/>
                <w:szCs w:val="21"/>
              </w:rPr>
              <w:t>.</w:t>
            </w:r>
            <w:r>
              <w:rPr>
                <w:rFonts w:hint="eastAsia"/>
              </w:rPr>
              <w:t xml:space="preserve"> </w:t>
            </w:r>
            <w:r>
              <w:rPr>
                <w:rFonts w:hint="eastAsia" w:ascii="仿宋_GB2312" w:hAnsi="仿宋" w:eastAsia="仿宋_GB2312"/>
                <w:bCs/>
                <w:color w:val="000000"/>
                <w:szCs w:val="21"/>
              </w:rPr>
              <w:t>本通知从2022年1月1日起实施。</w:t>
            </w:r>
          </w:p>
          <w:p>
            <w:pPr>
              <w:pStyle w:val="2"/>
              <w:spacing w:after="0" w:line="240" w:lineRule="auto"/>
              <w:ind w:left="0" w:leftChars="0" w:firstLine="0" w:firstLineChars="0"/>
              <w:rPr>
                <w:rFonts w:ascii="仿宋_GB2312" w:hAnsi="仿宋" w:eastAsia="仿宋_GB2312"/>
                <w:bCs/>
                <w:color w:val="000000"/>
                <w:szCs w:val="21"/>
              </w:rPr>
            </w:pPr>
            <w:r>
              <w:rPr>
                <w:rFonts w:ascii="仿宋_GB2312" w:hAnsi="仿宋" w:eastAsia="仿宋_GB2312"/>
                <w:bCs/>
                <w:color w:val="000000"/>
                <w:szCs w:val="21"/>
              </w:rPr>
              <w:t>3</w:t>
            </w:r>
            <w:r>
              <w:rPr>
                <w:rFonts w:hint="eastAsia" w:ascii="仿宋_GB2312" w:hAnsi="仿宋" w:eastAsia="仿宋_GB2312"/>
                <w:bCs/>
                <w:color w:val="000000"/>
                <w:szCs w:val="21"/>
              </w:rPr>
              <w:t>.</w:t>
            </w:r>
            <w:r>
              <w:rPr>
                <w:rFonts w:ascii="仿宋_GB2312" w:hAnsi="仿宋" w:eastAsia="仿宋_GB2312"/>
                <w:bCs/>
                <w:color w:val="000000"/>
                <w:szCs w:val="21"/>
              </w:rPr>
              <w:t xml:space="preserve"> </w:t>
            </w:r>
            <w:r>
              <w:rPr>
                <w:rFonts w:hint="eastAsia" w:ascii="仿宋_GB2312" w:hAnsi="仿宋" w:eastAsia="仿宋_GB2312"/>
                <w:bCs/>
                <w:color w:val="000000"/>
                <w:szCs w:val="21"/>
              </w:rPr>
              <w:t>本通知明确的2022年新能源汽车购置补贴政策于2022年12月31日终止，2022年12月31日之后上牌的车辆不再给予补贴。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default" w:ascii="仿宋_GB2312" w:hAnsi="仿宋" w:eastAsia="仿宋_GB2312"/>
                <w:bCs/>
                <w:color w:val="000000"/>
                <w:szCs w:val="21"/>
                <w:lang w:val="en-US" w:eastAsia="zh-CN"/>
              </w:rPr>
            </w:pPr>
            <w:bookmarkStart w:id="0" w:name="_Hlk97189579"/>
            <w:r>
              <w:rPr>
                <w:rFonts w:hint="eastAsia" w:ascii="仿宋_GB2312" w:hAnsi="仿宋" w:eastAsia="仿宋_GB2312"/>
                <w:bCs/>
                <w:color w:val="000000"/>
                <w:szCs w:val="21"/>
                <w:lang w:val="en-US" w:eastAsia="zh-CN"/>
              </w:rPr>
              <w:t>10</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《国家税务总局 财政部关于延续实施制造业中小微企业延缓缴纳部分税费有关事项的公告 》（国家税务总局 财政部公告2022年第2号）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hint="eastAsia"/>
              </w:rPr>
              <w:t xml:space="preserve"> </w:t>
            </w:r>
            <w:r>
              <w:rPr>
                <w:rFonts w:hint="eastAsia" w:ascii="仿宋_GB2312" w:hAnsi="仿宋" w:eastAsia="仿宋_GB2312"/>
                <w:bCs/>
                <w:color w:val="000000"/>
                <w:szCs w:val="21"/>
              </w:rPr>
              <w:t>继续延缓缴纳2021年第四季度部分税费。《国家税务总局</w:t>
            </w:r>
            <w:r>
              <w:rPr>
                <w:rFonts w:ascii="仿宋_GB2312" w:hAnsi="仿宋" w:eastAsia="仿宋_GB2312"/>
                <w:bCs/>
                <w:color w:val="000000"/>
                <w:szCs w:val="21"/>
              </w:rPr>
              <w:t> </w:t>
            </w:r>
            <w:r>
              <w:rPr>
                <w:rFonts w:hint="eastAsia" w:ascii="仿宋_GB2312" w:hAnsi="仿宋" w:eastAsia="仿宋_GB2312"/>
                <w:bCs/>
                <w:color w:val="000000"/>
                <w:szCs w:val="21"/>
              </w:rPr>
              <w:t>财政部关于制造业中小微企业延缓缴纳</w:t>
            </w:r>
            <w:r>
              <w:rPr>
                <w:rFonts w:ascii="仿宋_GB2312" w:hAnsi="仿宋" w:eastAsia="仿宋_GB2312"/>
                <w:bCs/>
                <w:color w:val="000000"/>
                <w:szCs w:val="21"/>
              </w:rPr>
              <w:t>2021</w:t>
            </w:r>
            <w:r>
              <w:rPr>
                <w:rFonts w:hint="eastAsia" w:ascii="仿宋_GB2312" w:hAnsi="仿宋" w:eastAsia="仿宋_GB2312"/>
                <w:bCs/>
                <w:color w:val="000000"/>
                <w:szCs w:val="21"/>
              </w:rPr>
              <w:t>年第四季度部分税费有关事项的公告》（</w:t>
            </w:r>
            <w:r>
              <w:rPr>
                <w:rFonts w:ascii="仿宋_GB2312" w:hAnsi="仿宋" w:eastAsia="仿宋_GB2312"/>
                <w:bCs/>
                <w:color w:val="000000"/>
                <w:szCs w:val="21"/>
              </w:rPr>
              <w:t>2021</w:t>
            </w:r>
            <w:r>
              <w:rPr>
                <w:rFonts w:hint="eastAsia" w:ascii="仿宋_GB2312" w:hAnsi="仿宋" w:eastAsia="仿宋_GB2312"/>
                <w:bCs/>
                <w:color w:val="000000"/>
                <w:szCs w:val="21"/>
              </w:rPr>
              <w:t>年第</w:t>
            </w:r>
            <w:r>
              <w:rPr>
                <w:rFonts w:ascii="仿宋_GB2312" w:hAnsi="仿宋" w:eastAsia="仿宋_GB2312"/>
                <w:bCs/>
                <w:color w:val="000000"/>
                <w:szCs w:val="21"/>
              </w:rPr>
              <w:t>30</w:t>
            </w:r>
            <w:r>
              <w:rPr>
                <w:rFonts w:hint="eastAsia" w:ascii="仿宋_GB2312" w:hAnsi="仿宋" w:eastAsia="仿宋_GB2312"/>
                <w:bCs/>
                <w:color w:val="000000"/>
                <w:szCs w:val="21"/>
              </w:rPr>
              <w:t>号）规定的制造业中小微企业延缓缴纳</w:t>
            </w:r>
            <w:r>
              <w:rPr>
                <w:rFonts w:ascii="仿宋_GB2312" w:hAnsi="仿宋" w:eastAsia="仿宋_GB2312"/>
                <w:bCs/>
                <w:color w:val="000000"/>
                <w:szCs w:val="21"/>
              </w:rPr>
              <w:t>2021</w:t>
            </w:r>
            <w:r>
              <w:rPr>
                <w:rFonts w:hint="eastAsia" w:ascii="仿宋_GB2312" w:hAnsi="仿宋" w:eastAsia="仿宋_GB2312"/>
                <w:bCs/>
                <w:color w:val="000000"/>
                <w:szCs w:val="21"/>
              </w:rPr>
              <w:t>年第四季度部分税费政策，缓缴期限继续延长</w:t>
            </w:r>
            <w:r>
              <w:rPr>
                <w:rFonts w:ascii="仿宋_GB2312" w:hAnsi="仿宋" w:eastAsia="仿宋_GB2312"/>
                <w:bCs/>
                <w:color w:val="000000"/>
                <w:szCs w:val="21"/>
              </w:rPr>
              <w:t>6</w:t>
            </w:r>
            <w:r>
              <w:rPr>
                <w:rFonts w:hint="eastAsia" w:ascii="仿宋_GB2312" w:hAnsi="仿宋" w:eastAsia="仿宋_GB2312"/>
                <w:bCs/>
                <w:color w:val="000000"/>
                <w:szCs w:val="21"/>
              </w:rPr>
              <w:t>个月。上述企业2021年第四季度延缓缴纳的税费在2022年1月1日后本公告施行前已缴纳入库的，可自愿选择申请办理退税（费）并享受延续缓缴政策。</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2. 延缓缴纳2022年第一季度、第二季度部分税费。</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1）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w:t>
            </w:r>
            <w:r>
              <w:rPr>
                <w:rFonts w:ascii="仿宋_GB2312" w:hAnsi="仿宋" w:eastAsia="仿宋_GB2312"/>
                <w:bCs/>
                <w:color w:val="000000"/>
                <w:szCs w:val="21"/>
              </w:rPr>
              <w:t>2</w:t>
            </w:r>
            <w:r>
              <w:rPr>
                <w:rFonts w:hint="eastAsia" w:ascii="仿宋_GB2312" w:hAnsi="仿宋" w:eastAsia="仿宋_GB2312"/>
                <w:bCs/>
                <w:color w:val="000000"/>
                <w:szCs w:val="21"/>
              </w:rPr>
              <w:t>）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Style w:val="14"/>
              <w:widowControl w:val="0"/>
              <w:spacing w:before="0" w:beforeAutospacing="0" w:after="0" w:afterAutospacing="0"/>
              <w:jc w:val="both"/>
            </w:pPr>
            <w:r>
              <w:rPr>
                <w:rFonts w:hint="eastAsia" w:ascii="仿宋_GB2312" w:hAnsi="仿宋" w:eastAsia="仿宋_GB2312" w:cs="Times New Roman"/>
                <w:bCs/>
                <w:color w:val="000000"/>
                <w:kern w:val="2"/>
                <w:sz w:val="21"/>
                <w:szCs w:val="21"/>
              </w:rPr>
              <w:t>（</w:t>
            </w:r>
            <w:r>
              <w:rPr>
                <w:rFonts w:ascii="仿宋_GB2312" w:hAnsi="仿宋" w:eastAsia="仿宋_GB2312" w:cs="Times New Roman"/>
                <w:bCs/>
                <w:color w:val="000000"/>
                <w:kern w:val="2"/>
                <w:sz w:val="21"/>
                <w:szCs w:val="21"/>
              </w:rPr>
              <w:t>3</w:t>
            </w:r>
            <w:r>
              <w:rPr>
                <w:rFonts w:hint="eastAsia" w:ascii="仿宋_GB2312" w:hAnsi="仿宋" w:eastAsia="仿宋_GB2312" w:cs="Times New Roman"/>
                <w:bCs/>
                <w:color w:val="000000"/>
                <w:kern w:val="2"/>
                <w:sz w:val="21"/>
                <w:szCs w:val="21"/>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对于在本公告施行前已缴纳入库的所属期为2022年1月的上述税费，企业可自愿选择申请办理退税（费）并享受缓缴政策。</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default" w:ascii="仿宋_GB2312" w:hAnsi="仿宋" w:eastAsia="仿宋_GB2312"/>
                <w:bCs/>
                <w:color w:val="000000"/>
                <w:szCs w:val="21"/>
                <w:lang w:val="en-US" w:eastAsia="zh-CN"/>
              </w:rPr>
            </w:pPr>
            <w:r>
              <w:rPr>
                <w:rFonts w:hint="eastAsia" w:ascii="仿宋_GB2312" w:hAnsi="仿宋" w:eastAsia="仿宋_GB2312"/>
                <w:bCs/>
                <w:color w:val="000000"/>
                <w:szCs w:val="21"/>
                <w:lang w:val="en-US" w:eastAsia="zh-CN"/>
              </w:rPr>
              <w:t>11</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税务总局关于延长部分税收优惠政策执行期限的公告》（财政部 税务总局公告2022年第 4 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《财政部 税务总局 科技部 教育部关于科技企业孵化器 大学科技园和众创空间税收政策的通知》（财税〔2018〕120号）、《财政部 税务总局关于继续对城市公交站场 道路客运站场 城市轨道交通系统减免城镇土地使用税优惠政策的通知》（财税〔2019〕11号）、《财政部 税务总局关于继续实行农产品批发市场 农贸市场房产税 城镇土地使用税优惠政策的通知》（财税〔2019〕12号）、《财政部 税务总局关于高校学生公寓房产税 印花税政策的通知》（财税〔2019〕14号）、《财政部 税务总局 退役军人部关于进一步扶持自主就业退役士兵创业就业有关税收政策的通知》（财税〔2019〕21号）、《财政部 税务总局 国家发展改革委 生态环境部关于从事污染防治的第三方企业所得税政策问题的公告》（财政部 税务总局 国家发展改革委 生态环境部公告2019年第60号）、《财政部 税务总局关于支持新型冠状病毒感染的肺炎疫情防控有关个人所得税政策的公告》（财政部 税务总局公告2020年第10号）中规定的税收优惠政策，执行期限延长至2023年12月31日。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default" w:ascii="仿宋_GB2312" w:hAnsi="仿宋" w:eastAsia="仿宋_GB2312"/>
                <w:bCs/>
                <w:color w:val="000000"/>
                <w:szCs w:val="21"/>
                <w:lang w:val="en-US" w:eastAsia="zh-CN"/>
              </w:rPr>
            </w:pPr>
            <w:r>
              <w:rPr>
                <w:rFonts w:hint="eastAsia" w:ascii="仿宋_GB2312" w:hAnsi="仿宋" w:eastAsia="仿宋_GB2312"/>
                <w:bCs/>
                <w:color w:val="000000"/>
                <w:szCs w:val="21"/>
                <w:lang w:val="en-US" w:eastAsia="zh-CN"/>
              </w:rPr>
              <w:t>12</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交通运输部关于调整农村客运、出租车油价补贴政策的通知》（财建〔2022〕1号）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十四五”期间各省城市交通发展奖励资金涨价补贴中的30%由各地用于支持出租车加快电动化，70%由各地统筹用于支持城市交通领域新能源汽车运营。同时，各省从当地城市交通发展奖励资金中，给予本省国家公交都市建设示范城市每城市每年500万元专项奖励资金，给予本省绿色货运配送示范城市每城市每年300万元专项奖励资金，用于支持示范创建工作。</w:t>
            </w:r>
          </w:p>
          <w:p>
            <w:pPr>
              <w:pStyle w:val="2"/>
              <w:spacing w:after="0" w:line="240" w:lineRule="auto"/>
              <w:ind w:left="0" w:leftChars="0" w:firstLine="0" w:firstLineChars="0"/>
              <w:rPr>
                <w:rFonts w:ascii="仿宋_GB2312" w:hAnsi="仿宋" w:eastAsia="仿宋_GB2312"/>
                <w:bCs/>
                <w:color w:val="000000"/>
                <w:szCs w:val="21"/>
              </w:rPr>
            </w:pPr>
            <w:r>
              <w:rPr>
                <w:rFonts w:hint="eastAsia" w:ascii="仿宋_GB2312" w:hAnsi="仿宋" w:eastAsia="仿宋_GB2312"/>
                <w:bCs/>
                <w:color w:val="000000"/>
                <w:szCs w:val="21"/>
              </w:rPr>
              <w:t xml:space="preserve">2. </w:t>
            </w:r>
            <w:r>
              <w:rPr>
                <w:rFonts w:ascii="仿宋_GB2312" w:hAnsi="仿宋" w:eastAsia="仿宋_GB2312"/>
                <w:bCs/>
                <w:color w:val="000000"/>
                <w:szCs w:val="21"/>
              </w:rPr>
              <w:t>2</w:t>
            </w:r>
            <w:r>
              <w:rPr>
                <w:rFonts w:hint="eastAsia" w:ascii="仿宋_GB2312" w:hAnsi="仿宋" w:eastAsia="仿宋_GB2312"/>
                <w:bCs/>
                <w:color w:val="000000"/>
                <w:szCs w:val="21"/>
              </w:rPr>
              <w:t>020年农村客运、出租车油价补贴政策延用2015-2019年的补贴政策，其中涨价补贴以2014年实际执行数作为基数，由地方统筹部分不低于60%，用于公共交通发展、新能源出租车和农村客运补贴、水路客运行业结构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24" w:type="dxa"/>
            <w:noWrap w:val="0"/>
            <w:vAlign w:val="center"/>
          </w:tcPr>
          <w:p>
            <w:pPr>
              <w:spacing w:line="240" w:lineRule="auto"/>
              <w:jc w:val="center"/>
              <w:rPr>
                <w:rFonts w:hint="eastAsia" w:ascii="仿宋_GB2312" w:hAnsi="仿宋" w:eastAsia="仿宋_GB2312"/>
                <w:bCs/>
                <w:color w:val="000000"/>
                <w:szCs w:val="21"/>
                <w:lang w:eastAsia="zh-CN"/>
              </w:rPr>
            </w:pPr>
            <w:r>
              <w:rPr>
                <w:rFonts w:ascii="仿宋_GB2312" w:hAnsi="仿宋" w:eastAsia="仿宋_GB2312"/>
                <w:bCs/>
                <w:color w:val="000000"/>
                <w:szCs w:val="21"/>
              </w:rPr>
              <w:t>1</w:t>
            </w:r>
            <w:r>
              <w:rPr>
                <w:rFonts w:hint="eastAsia" w:ascii="仿宋_GB2312" w:hAnsi="仿宋" w:eastAsia="仿宋_GB2312"/>
                <w:bCs/>
                <w:color w:val="000000"/>
                <w:szCs w:val="21"/>
                <w:lang w:val="en-US" w:eastAsia="zh-CN"/>
              </w:rPr>
              <w:t>3</w:t>
            </w:r>
          </w:p>
        </w:tc>
        <w:tc>
          <w:tcPr>
            <w:tcW w:w="1624" w:type="dxa"/>
            <w:noWrap w:val="0"/>
            <w:vAlign w:val="center"/>
          </w:tcPr>
          <w:p>
            <w:pPr>
              <w:spacing w:line="240" w:lineRule="auto"/>
              <w:jc w:val="center"/>
              <w:rPr>
                <w:rFonts w:ascii="仿宋_GB2312" w:hAnsi="仿宋" w:eastAsia="仿宋_GB2312"/>
                <w:bCs/>
                <w:color w:val="000000"/>
                <w:szCs w:val="21"/>
              </w:rPr>
            </w:pPr>
            <w:r>
              <w:rPr>
                <w:rFonts w:hint="eastAsia" w:ascii="仿宋_GB2312" w:hAnsi="仿宋" w:eastAsia="仿宋_GB2312"/>
                <w:bCs/>
                <w:color w:val="000000"/>
                <w:szCs w:val="21"/>
              </w:rPr>
              <w:t>《财政部 税务总局关于基础设施领域不动产投资信托基金（REITs）试点税收政策的公告》（财政部 税务总局公告2022年第 3 号）</w:t>
            </w:r>
          </w:p>
        </w:tc>
        <w:tc>
          <w:tcPr>
            <w:tcW w:w="6308" w:type="dxa"/>
            <w:noWrap w:val="0"/>
            <w:vAlign w:val="center"/>
          </w:tcPr>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1.</w:t>
            </w:r>
            <w:r>
              <w:rPr>
                <w:rFonts w:hint="eastAsia"/>
              </w:rPr>
              <w:t xml:space="preserve"> </w:t>
            </w:r>
            <w:r>
              <w:rPr>
                <w:rFonts w:hint="eastAsia" w:ascii="仿宋_GB2312" w:hAnsi="仿宋" w:eastAsia="仿宋_GB2312"/>
                <w:bCs/>
                <w:color w:val="000000"/>
                <w:szCs w:val="21"/>
              </w:rPr>
              <w:t xml:space="preserve">设立基础设施REITs前，原始权益人向项目公司划转基础设施资产相应取得项目公司股权，适用特殊性税务处理，即项目公司取得基础设施资产的计税基础，以基础设施资产的原计税基础确定；原始权益人取得项目公司股权的计税基础，以基础设施资产的原计税基础确定。原始权益人和项目公司不确认所得，不征收企业所得税。 </w:t>
            </w:r>
          </w:p>
          <w:p>
            <w:pPr>
              <w:spacing w:line="240" w:lineRule="auto"/>
              <w:jc w:val="left"/>
              <w:rPr>
                <w:rFonts w:ascii="仿宋_GB2312" w:hAnsi="仿宋" w:eastAsia="仿宋_GB2312"/>
                <w:bCs/>
                <w:color w:val="000000"/>
                <w:szCs w:val="21"/>
              </w:rPr>
            </w:pPr>
            <w:r>
              <w:rPr>
                <w:rFonts w:hint="eastAsia" w:ascii="仿宋_GB2312" w:hAnsi="仿宋" w:eastAsia="仿宋_GB2312"/>
                <w:bCs/>
                <w:color w:val="000000"/>
                <w:szCs w:val="21"/>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原始权益人通过二级市场认购（增持）该基础设施REITs份额，按照先进先出原则认定优先处置战略配售份额。</w:t>
            </w:r>
          </w:p>
          <w:p>
            <w:pPr>
              <w:pStyle w:val="2"/>
              <w:spacing w:line="240" w:lineRule="auto"/>
              <w:ind w:left="0" w:leftChars="0" w:firstLine="0" w:firstLineChars="0"/>
              <w:rPr>
                <w:rFonts w:ascii="仿宋_GB2312" w:hAnsi="仿宋" w:eastAsia="仿宋_GB2312"/>
                <w:bCs/>
                <w:color w:val="000000"/>
                <w:szCs w:val="21"/>
              </w:rPr>
            </w:pPr>
            <w:r>
              <w:rPr>
                <w:rFonts w:ascii="仿宋_GB2312" w:hAnsi="仿宋" w:eastAsia="仿宋_GB2312"/>
                <w:bCs/>
                <w:color w:val="000000"/>
                <w:szCs w:val="21"/>
              </w:rPr>
              <w:t>3</w:t>
            </w:r>
            <w:r>
              <w:rPr>
                <w:rFonts w:hint="eastAsia" w:ascii="仿宋_GB2312" w:hAnsi="仿宋" w:eastAsia="仿宋_GB2312"/>
                <w:bCs/>
                <w:color w:val="000000"/>
                <w:szCs w:val="21"/>
              </w:rPr>
              <w:t xml:space="preserve">. 本公告适用范围为证监会、发展改革委根据有关规定组织开展的基础设施REITs试点项目。 </w:t>
            </w:r>
          </w:p>
          <w:p>
            <w:pPr>
              <w:pStyle w:val="2"/>
              <w:spacing w:line="240" w:lineRule="auto"/>
              <w:ind w:left="0" w:leftChars="0" w:firstLine="0" w:firstLineChars="0"/>
            </w:pPr>
            <w:r>
              <w:rPr>
                <w:rFonts w:hint="eastAsia" w:ascii="仿宋_GB2312" w:hAnsi="仿宋" w:eastAsia="仿宋_GB2312"/>
                <w:bCs/>
                <w:color w:val="000000"/>
                <w:szCs w:val="21"/>
              </w:rPr>
              <w:t>4.本公告自2021年1月1日起实施。</w:t>
            </w:r>
          </w:p>
        </w:tc>
      </w:tr>
    </w:tbl>
    <w:p>
      <w:pPr>
        <w:rPr>
          <w:rFonts w:hint="eastAsia"/>
        </w:rPr>
      </w:pPr>
    </w:p>
    <w:p>
      <w:pPr>
        <w:pStyle w:val="14"/>
        <w:shd w:val="clear" w:color="auto" w:fill="FFFFFF"/>
        <w:spacing w:before="0" w:beforeAutospacing="0" w:after="0" w:afterAutospacing="0"/>
        <w:ind w:firstLine="480"/>
        <w:jc w:val="right"/>
        <w:rPr>
          <w:color w:val="333333"/>
        </w:rPr>
      </w:pPr>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540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2540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0pt;width:4.6pt;mso-position-horizontal:center;mso-position-horizontal-relative:margin;mso-wrap-style:none;z-index:251659264;mso-width-relative:page;mso-height-relative:page;" filled="f" stroked="f" coordsize="21600,21600" o:gfxdata="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ShKS9AAAAAC&#10;AQAADwAAAAAAAAABACAAAAAiAAAAZHJzL2Rvd25yZXYueG1sUEsBAhQAFAAAAAgAh07iQP9tAV7r&#10;AQAAswMAAA4AAAAAAAAAAQAgAAAAHwEAAGRycy9lMm9Eb2MueG1sUEsFBgAAAAAGAAYAWQEAAHwF&#10;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ZDJiM2FiZmY4YjE2NzIzOWM2OThlZmZhMWZjOWMifQ=="/>
  </w:docVars>
  <w:rsids>
    <w:rsidRoot w:val="00172A27"/>
    <w:rsid w:val="00022A2B"/>
    <w:rsid w:val="00025449"/>
    <w:rsid w:val="00164495"/>
    <w:rsid w:val="002A5B75"/>
    <w:rsid w:val="00524B54"/>
    <w:rsid w:val="00546307"/>
    <w:rsid w:val="0062630B"/>
    <w:rsid w:val="006941C1"/>
    <w:rsid w:val="00757E09"/>
    <w:rsid w:val="008A3380"/>
    <w:rsid w:val="008E2AF0"/>
    <w:rsid w:val="00A65038"/>
    <w:rsid w:val="00AA2A83"/>
    <w:rsid w:val="00AF4F7E"/>
    <w:rsid w:val="00AF7FE8"/>
    <w:rsid w:val="00EA1101"/>
    <w:rsid w:val="01211DA4"/>
    <w:rsid w:val="045715B8"/>
    <w:rsid w:val="049F129E"/>
    <w:rsid w:val="06872FD5"/>
    <w:rsid w:val="06EE2FEE"/>
    <w:rsid w:val="075431E3"/>
    <w:rsid w:val="0AA3355A"/>
    <w:rsid w:val="0BE34A16"/>
    <w:rsid w:val="104C1835"/>
    <w:rsid w:val="10772522"/>
    <w:rsid w:val="10886B42"/>
    <w:rsid w:val="10A811D1"/>
    <w:rsid w:val="111A13FF"/>
    <w:rsid w:val="11FE75E0"/>
    <w:rsid w:val="13832D81"/>
    <w:rsid w:val="13952F00"/>
    <w:rsid w:val="15FA0142"/>
    <w:rsid w:val="167A309C"/>
    <w:rsid w:val="187D1E81"/>
    <w:rsid w:val="19233C7A"/>
    <w:rsid w:val="1A3146DE"/>
    <w:rsid w:val="1BC33133"/>
    <w:rsid w:val="1D1469AE"/>
    <w:rsid w:val="1F985EDE"/>
    <w:rsid w:val="20A446A9"/>
    <w:rsid w:val="20B81B4B"/>
    <w:rsid w:val="21A844E8"/>
    <w:rsid w:val="22673666"/>
    <w:rsid w:val="23515DF1"/>
    <w:rsid w:val="23957287"/>
    <w:rsid w:val="253B55A4"/>
    <w:rsid w:val="268F3E7A"/>
    <w:rsid w:val="26B30226"/>
    <w:rsid w:val="295020B2"/>
    <w:rsid w:val="2A486B1D"/>
    <w:rsid w:val="2B2533EF"/>
    <w:rsid w:val="2D222A55"/>
    <w:rsid w:val="2D480265"/>
    <w:rsid w:val="2F2A34DD"/>
    <w:rsid w:val="2F4715B0"/>
    <w:rsid w:val="2F963013"/>
    <w:rsid w:val="300703F1"/>
    <w:rsid w:val="30AC16F3"/>
    <w:rsid w:val="32A03AAE"/>
    <w:rsid w:val="32D671EB"/>
    <w:rsid w:val="33B5651A"/>
    <w:rsid w:val="340E5403"/>
    <w:rsid w:val="340F0A54"/>
    <w:rsid w:val="34CE6EE5"/>
    <w:rsid w:val="368377DD"/>
    <w:rsid w:val="38C60702"/>
    <w:rsid w:val="395B1104"/>
    <w:rsid w:val="39B576CA"/>
    <w:rsid w:val="3A8B49B3"/>
    <w:rsid w:val="3CDC1D33"/>
    <w:rsid w:val="3ED2511B"/>
    <w:rsid w:val="3FDA0447"/>
    <w:rsid w:val="40852857"/>
    <w:rsid w:val="418B073D"/>
    <w:rsid w:val="42520354"/>
    <w:rsid w:val="43AC2EA4"/>
    <w:rsid w:val="449D459A"/>
    <w:rsid w:val="4510266E"/>
    <w:rsid w:val="454D6CF4"/>
    <w:rsid w:val="459E364D"/>
    <w:rsid w:val="46333408"/>
    <w:rsid w:val="466B5A57"/>
    <w:rsid w:val="47BC567F"/>
    <w:rsid w:val="47F832A3"/>
    <w:rsid w:val="48050DD4"/>
    <w:rsid w:val="48B86E44"/>
    <w:rsid w:val="48C22822"/>
    <w:rsid w:val="4C4579F1"/>
    <w:rsid w:val="4F5F701C"/>
    <w:rsid w:val="51BA575D"/>
    <w:rsid w:val="524C1E08"/>
    <w:rsid w:val="53B20651"/>
    <w:rsid w:val="53C64B77"/>
    <w:rsid w:val="5451614C"/>
    <w:rsid w:val="545C7FCE"/>
    <w:rsid w:val="551B434A"/>
    <w:rsid w:val="5543596A"/>
    <w:rsid w:val="568B061B"/>
    <w:rsid w:val="57355B8E"/>
    <w:rsid w:val="5A1129DB"/>
    <w:rsid w:val="5C2B2F22"/>
    <w:rsid w:val="5CCE304F"/>
    <w:rsid w:val="61430390"/>
    <w:rsid w:val="624769C3"/>
    <w:rsid w:val="6260099C"/>
    <w:rsid w:val="640D3093"/>
    <w:rsid w:val="64443E55"/>
    <w:rsid w:val="6513433C"/>
    <w:rsid w:val="65257F68"/>
    <w:rsid w:val="67A81366"/>
    <w:rsid w:val="67AE0710"/>
    <w:rsid w:val="683A6946"/>
    <w:rsid w:val="6B2667E8"/>
    <w:rsid w:val="6B514671"/>
    <w:rsid w:val="6F50704C"/>
    <w:rsid w:val="6FAD3568"/>
    <w:rsid w:val="716D6F1F"/>
    <w:rsid w:val="71845B89"/>
    <w:rsid w:val="71915413"/>
    <w:rsid w:val="727650AC"/>
    <w:rsid w:val="72D6044B"/>
    <w:rsid w:val="72E30742"/>
    <w:rsid w:val="73FC46A6"/>
    <w:rsid w:val="78655D29"/>
    <w:rsid w:val="7883171E"/>
    <w:rsid w:val="798265FB"/>
    <w:rsid w:val="79F24465"/>
    <w:rsid w:val="7C814761"/>
    <w:rsid w:val="7D626B22"/>
    <w:rsid w:val="7E44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Calibri" w:hAnsi="Calibri" w:eastAsia="宋体" w:cs="Times New Roman"/>
      <w:kern w:val="2"/>
      <w:sz w:val="21"/>
      <w:szCs w:val="24"/>
      <w:lang w:val="en-US" w:eastAsia="zh-CN" w:bidi="ar-SA"/>
    </w:rPr>
  </w:style>
  <w:style w:type="paragraph" w:styleId="4">
    <w:name w:val="heading 1"/>
    <w:basedOn w:val="1"/>
    <w:next w:val="1"/>
    <w:link w:val="25"/>
    <w:qFormat/>
    <w:uiPriority w:val="0"/>
    <w:pPr>
      <w:spacing w:before="100" w:beforeAutospacing="1" w:after="100" w:afterAutospacing="1" w:line="360" w:lineRule="auto"/>
      <w:jc w:val="left"/>
      <w:outlineLvl w:val="0"/>
    </w:pPr>
    <w:rPr>
      <w:rFonts w:hint="eastAsia" w:ascii="宋体" w:hAnsi="宋体"/>
      <w:b/>
      <w:kern w:val="44"/>
      <w:sz w:val="48"/>
      <w:szCs w:val="48"/>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link w:val="21"/>
    <w:semiHidden/>
    <w:unhideWhenUsed/>
    <w:qFormat/>
    <w:uiPriority w:val="0"/>
    <w:pPr>
      <w:keepNext/>
      <w:keepLines/>
      <w:overflowPunct w:val="0"/>
      <w:topLinePunct/>
      <w:spacing w:before="260" w:after="260" w:line="416" w:lineRule="auto"/>
      <w:outlineLvl w:val="2"/>
    </w:pPr>
    <w:rPr>
      <w:rFonts w:ascii="Times New Roman" w:hAnsi="Times New Roman" w:eastAsia="方正仿宋_GBK"/>
      <w:b/>
      <w:bCs/>
      <w:sz w:val="32"/>
      <w:szCs w:val="32"/>
    </w:rPr>
  </w:style>
  <w:style w:type="paragraph" w:styleId="7">
    <w:name w:val="heading 5"/>
    <w:basedOn w:val="1"/>
    <w:next w:val="8"/>
    <w:link w:val="22"/>
    <w:qFormat/>
    <w:uiPriority w:val="0"/>
    <w:pPr>
      <w:keepNext/>
      <w:keepLines/>
      <w:widowControl/>
      <w:overflowPunct w:val="0"/>
      <w:topLinePunct/>
      <w:spacing w:before="280" w:after="290" w:line="376" w:lineRule="auto"/>
      <w:ind w:left="1008" w:hanging="1008"/>
      <w:outlineLvl w:val="4"/>
    </w:pPr>
    <w:rPr>
      <w:rFonts w:ascii="Times New Roman" w:hAnsi="Times New Roman" w:eastAsia="方正仿宋_GBK"/>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7"/>
    <w:unhideWhenUsed/>
    <w:qFormat/>
    <w:uiPriority w:val="99"/>
    <w:pPr>
      <w:ind w:firstLine="420" w:firstLineChars="200"/>
    </w:pPr>
  </w:style>
  <w:style w:type="paragraph" w:styleId="3">
    <w:name w:val="Body Text Indent"/>
    <w:basedOn w:val="1"/>
    <w:link w:val="26"/>
    <w:semiHidden/>
    <w:unhideWhenUsed/>
    <w:qFormat/>
    <w:uiPriority w:val="99"/>
    <w:pPr>
      <w:spacing w:after="120"/>
      <w:ind w:left="420" w:leftChars="200"/>
    </w:pPr>
  </w:style>
  <w:style w:type="paragraph" w:styleId="8">
    <w:name w:val="Normal Indent"/>
    <w:basedOn w:val="1"/>
    <w:next w:val="1"/>
    <w:qFormat/>
    <w:uiPriority w:val="0"/>
    <w:pPr>
      <w:widowControl/>
      <w:overflowPunct w:val="0"/>
      <w:topLinePunct/>
      <w:spacing w:line="240" w:lineRule="auto"/>
      <w:ind w:firstLine="420" w:firstLineChars="200"/>
    </w:pPr>
    <w:rPr>
      <w:rFonts w:ascii="Times New Roman" w:hAnsi="Times New Roman" w:eastAsia="方正仿宋_GBK"/>
      <w:sz w:val="20"/>
      <w:szCs w:val="20"/>
    </w:rPr>
  </w:style>
  <w:style w:type="paragraph" w:styleId="9">
    <w:name w:val="annotation text"/>
    <w:basedOn w:val="1"/>
    <w:semiHidden/>
    <w:unhideWhenUsed/>
    <w:qFormat/>
    <w:uiPriority w:val="99"/>
    <w:pPr>
      <w:jc w:val="left"/>
    </w:pPr>
  </w:style>
  <w:style w:type="paragraph" w:styleId="10">
    <w:name w:val="Body Text"/>
    <w:basedOn w:val="1"/>
    <w:link w:val="28"/>
    <w:semiHidden/>
    <w:unhideWhenUsed/>
    <w:qFormat/>
    <w:uiPriority w:val="99"/>
    <w:pPr>
      <w:spacing w:after="120"/>
    </w:pPr>
  </w:style>
  <w:style w:type="paragraph" w:styleId="11">
    <w:name w:val="Date"/>
    <w:basedOn w:val="1"/>
    <w:next w:val="1"/>
    <w:link w:val="29"/>
    <w:semiHidden/>
    <w:unhideWhenUsed/>
    <w:qFormat/>
    <w:uiPriority w:val="99"/>
    <w:pPr>
      <w:ind w:left="100" w:leftChars="2500"/>
    </w:pPr>
  </w:style>
  <w:style w:type="paragraph" w:styleId="12">
    <w:name w:val="footer"/>
    <w:basedOn w:val="1"/>
    <w:link w:val="24"/>
    <w:unhideWhenUsed/>
    <w:qFormat/>
    <w:uiPriority w:val="0"/>
    <w:pPr>
      <w:tabs>
        <w:tab w:val="center" w:pos="4153"/>
        <w:tab w:val="right" w:pos="8306"/>
      </w:tabs>
      <w:overflowPunct w:val="0"/>
      <w:topLinePunct/>
      <w:snapToGrid w:val="0"/>
      <w:spacing w:line="240" w:lineRule="auto"/>
      <w:jc w:val="left"/>
    </w:pPr>
    <w:rPr>
      <w:rFonts w:ascii="Times New Roman" w:hAnsi="Times New Roman" w:eastAsia="方正仿宋_GBK"/>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overflowPunct w:val="0"/>
      <w:topLinePunct/>
      <w:snapToGrid w:val="0"/>
      <w:spacing w:line="240" w:lineRule="auto"/>
      <w:jc w:val="center"/>
    </w:pPr>
    <w:rPr>
      <w:rFonts w:ascii="Times New Roman" w:hAnsi="Times New Roman" w:eastAsia="方正仿宋_GBK"/>
      <w:sz w:val="18"/>
      <w:szCs w:val="18"/>
    </w:rPr>
  </w:style>
  <w:style w:type="paragraph" w:styleId="14">
    <w:name w:val="Normal (Web)"/>
    <w:basedOn w:val="1"/>
    <w:qFormat/>
    <w:uiPriority w:val="99"/>
    <w:pPr>
      <w:spacing w:before="100" w:beforeAutospacing="1" w:after="100" w:afterAutospacing="1"/>
    </w:pPr>
    <w:rPr>
      <w:sz w:val="24"/>
    </w:rPr>
  </w:style>
  <w:style w:type="character" w:styleId="17">
    <w:name w:val="Strong"/>
    <w:basedOn w:val="16"/>
    <w:qFormat/>
    <w:uiPriority w:val="0"/>
    <w:rPr>
      <w:b/>
    </w:rPr>
  </w:style>
  <w:style w:type="character" w:styleId="18">
    <w:name w:val="FollowedHyperlink"/>
    <w:basedOn w:val="16"/>
    <w:semiHidden/>
    <w:unhideWhenUsed/>
    <w:qFormat/>
    <w:uiPriority w:val="99"/>
    <w:rPr>
      <w:color w:val="333333"/>
      <w:u w:val="none"/>
    </w:rPr>
  </w:style>
  <w:style w:type="character" w:styleId="19">
    <w:name w:val="Hyperlink"/>
    <w:basedOn w:val="16"/>
    <w:semiHidden/>
    <w:unhideWhenUsed/>
    <w:qFormat/>
    <w:uiPriority w:val="99"/>
    <w:rPr>
      <w:color w:val="333333"/>
      <w:u w:val="none"/>
    </w:rPr>
  </w:style>
  <w:style w:type="character" w:styleId="20">
    <w:name w:val="annotation reference"/>
    <w:basedOn w:val="16"/>
    <w:semiHidden/>
    <w:unhideWhenUsed/>
    <w:qFormat/>
    <w:uiPriority w:val="99"/>
    <w:rPr>
      <w:sz w:val="21"/>
      <w:szCs w:val="21"/>
    </w:rPr>
  </w:style>
  <w:style w:type="character" w:customStyle="1" w:styleId="21">
    <w:name w:val="标题 3 字符"/>
    <w:basedOn w:val="16"/>
    <w:link w:val="6"/>
    <w:semiHidden/>
    <w:qFormat/>
    <w:uiPriority w:val="0"/>
    <w:rPr>
      <w:rFonts w:eastAsia="方正仿宋_GBK"/>
      <w:b/>
      <w:bCs/>
      <w:kern w:val="2"/>
      <w:sz w:val="32"/>
      <w:szCs w:val="32"/>
    </w:rPr>
  </w:style>
  <w:style w:type="character" w:customStyle="1" w:styleId="22">
    <w:name w:val="标题 5 字符"/>
    <w:basedOn w:val="16"/>
    <w:link w:val="7"/>
    <w:qFormat/>
    <w:uiPriority w:val="0"/>
    <w:rPr>
      <w:rFonts w:eastAsia="方正仿宋_GBK"/>
      <w:b/>
      <w:bCs/>
      <w:kern w:val="2"/>
      <w:sz w:val="28"/>
      <w:szCs w:val="28"/>
    </w:rPr>
  </w:style>
  <w:style w:type="character" w:customStyle="1" w:styleId="23">
    <w:name w:val="页眉 字符"/>
    <w:basedOn w:val="16"/>
    <w:link w:val="13"/>
    <w:qFormat/>
    <w:uiPriority w:val="99"/>
    <w:rPr>
      <w:rFonts w:eastAsia="方正仿宋_GBK"/>
      <w:kern w:val="2"/>
      <w:sz w:val="18"/>
      <w:szCs w:val="18"/>
    </w:rPr>
  </w:style>
  <w:style w:type="character" w:customStyle="1" w:styleId="24">
    <w:name w:val="页脚 字符"/>
    <w:basedOn w:val="16"/>
    <w:link w:val="12"/>
    <w:qFormat/>
    <w:uiPriority w:val="99"/>
    <w:rPr>
      <w:rFonts w:eastAsia="方正仿宋_GBK"/>
      <w:kern w:val="2"/>
      <w:sz w:val="18"/>
      <w:szCs w:val="18"/>
    </w:rPr>
  </w:style>
  <w:style w:type="character" w:customStyle="1" w:styleId="25">
    <w:name w:val="标题 1 字符"/>
    <w:basedOn w:val="16"/>
    <w:link w:val="4"/>
    <w:qFormat/>
    <w:uiPriority w:val="0"/>
    <w:rPr>
      <w:rFonts w:ascii="宋体" w:hAnsi="宋体"/>
      <w:b/>
      <w:kern w:val="44"/>
      <w:sz w:val="48"/>
      <w:szCs w:val="48"/>
    </w:rPr>
  </w:style>
  <w:style w:type="character" w:customStyle="1" w:styleId="26">
    <w:name w:val="正文文本缩进 字符"/>
    <w:basedOn w:val="16"/>
    <w:link w:val="3"/>
    <w:semiHidden/>
    <w:qFormat/>
    <w:uiPriority w:val="99"/>
    <w:rPr>
      <w:rFonts w:ascii="Calibri" w:hAnsi="Calibri"/>
      <w:kern w:val="2"/>
      <w:sz w:val="21"/>
      <w:szCs w:val="24"/>
    </w:rPr>
  </w:style>
  <w:style w:type="character" w:customStyle="1" w:styleId="27">
    <w:name w:val="正文文本首行缩进 2 字符"/>
    <w:basedOn w:val="26"/>
    <w:link w:val="2"/>
    <w:qFormat/>
    <w:uiPriority w:val="99"/>
    <w:rPr>
      <w:rFonts w:ascii="Calibri" w:hAnsi="Calibri"/>
      <w:kern w:val="2"/>
      <w:sz w:val="21"/>
      <w:szCs w:val="24"/>
    </w:rPr>
  </w:style>
  <w:style w:type="character" w:customStyle="1" w:styleId="28">
    <w:name w:val="正文文本 字符"/>
    <w:basedOn w:val="16"/>
    <w:link w:val="10"/>
    <w:semiHidden/>
    <w:qFormat/>
    <w:uiPriority w:val="99"/>
    <w:rPr>
      <w:rFonts w:ascii="Calibri" w:hAnsi="Calibri"/>
      <w:kern w:val="2"/>
      <w:sz w:val="21"/>
      <w:szCs w:val="24"/>
    </w:rPr>
  </w:style>
  <w:style w:type="character" w:customStyle="1" w:styleId="29">
    <w:name w:val="日期 字符"/>
    <w:basedOn w:val="16"/>
    <w:link w:val="11"/>
    <w:semiHidden/>
    <w:qFormat/>
    <w:uiPriority w:val="99"/>
    <w:rPr>
      <w:rFonts w:ascii="Calibri" w:hAnsi="Calibri"/>
      <w:kern w:val="2"/>
      <w:sz w:val="21"/>
      <w:szCs w:val="24"/>
    </w:rPr>
  </w:style>
  <w:style w:type="character" w:customStyle="1" w:styleId="30">
    <w:name w:val="hao1"/>
    <w:basedOn w:val="16"/>
    <w:qFormat/>
    <w:uiPriority w:val="0"/>
    <w:rPr>
      <w:b/>
      <w:bCs/>
    </w:rPr>
  </w:style>
  <w:style w:type="character" w:customStyle="1" w:styleId="31">
    <w:name w:val="wz"/>
    <w:basedOn w:val="16"/>
    <w:qFormat/>
    <w:uiPriority w:val="0"/>
    <w:rPr>
      <w:vanish/>
      <w:color w:val="808080"/>
    </w:rPr>
  </w:style>
  <w:style w:type="character" w:customStyle="1" w:styleId="32">
    <w:name w:val="hao12"/>
    <w:basedOn w:val="16"/>
    <w:qFormat/>
    <w:uiPriority w:val="0"/>
    <w:rPr>
      <w:b/>
      <w:bCs/>
    </w:rPr>
  </w:style>
  <w:style w:type="paragraph" w:styleId="33">
    <w:name w:val="List Paragraph"/>
    <w:basedOn w:val="1"/>
    <w:qFormat/>
    <w:uiPriority w:val="99"/>
    <w:pPr>
      <w:ind w:firstLine="420" w:firstLineChars="200"/>
    </w:pPr>
  </w:style>
  <w:style w:type="character" w:customStyle="1" w:styleId="34">
    <w:name w:val="on"/>
    <w:basedOn w:val="16"/>
    <w:qFormat/>
    <w:uiPriority w:val="0"/>
    <w:rPr>
      <w:color w:val="333333"/>
    </w:rPr>
  </w:style>
  <w:style w:type="character" w:customStyle="1" w:styleId="35">
    <w:name w:val="gwds_nopic"/>
    <w:basedOn w:val="16"/>
    <w:qFormat/>
    <w:uiPriority w:val="0"/>
  </w:style>
  <w:style w:type="character" w:customStyle="1" w:styleId="36">
    <w:name w:val="gwds_nopic1"/>
    <w:basedOn w:val="16"/>
    <w:qFormat/>
    <w:uiPriority w:val="0"/>
  </w:style>
  <w:style w:type="character" w:customStyle="1" w:styleId="37">
    <w:name w:val="gwds_nopic2"/>
    <w:basedOn w:val="16"/>
    <w:qFormat/>
    <w:uiPriority w:val="0"/>
  </w:style>
  <w:style w:type="character" w:customStyle="1" w:styleId="38">
    <w:name w:val="font"/>
    <w:basedOn w:val="16"/>
    <w:qFormat/>
    <w:uiPriority w:val="0"/>
  </w:style>
  <w:style w:type="character" w:customStyle="1" w:styleId="39">
    <w:name w:val="font1"/>
    <w:basedOn w:val="16"/>
    <w:qFormat/>
    <w:uiPriority w:val="0"/>
  </w:style>
  <w:style w:type="character" w:customStyle="1" w:styleId="40">
    <w:name w:val="loan"/>
    <w:basedOn w:val="16"/>
    <w:qFormat/>
    <w:uiPriority w:val="0"/>
  </w:style>
  <w:style w:type="character" w:customStyle="1" w:styleId="41">
    <w:name w:val="laypage_curr"/>
    <w:basedOn w:val="16"/>
    <w:qFormat/>
    <w:uiPriority w:val="0"/>
    <w:rPr>
      <w:color w:val="FFFDF4"/>
      <w:shd w:val="clear" w:fill="0B67A6"/>
    </w:rPr>
  </w:style>
  <w:style w:type="character" w:customStyle="1" w:styleId="42">
    <w:name w:val="hover13"/>
    <w:basedOn w:val="16"/>
    <w:qFormat/>
    <w:uiPriority w:val="0"/>
    <w:rPr>
      <w:color w:val="015293"/>
    </w:rPr>
  </w:style>
  <w:style w:type="character" w:customStyle="1" w:styleId="43">
    <w:name w:val="hover12"/>
    <w:basedOn w:val="16"/>
    <w:qFormat/>
    <w:uiPriority w:val="0"/>
    <w:rPr>
      <w:color w:val="01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77082</Words>
  <Characters>78720</Characters>
  <Lines>34</Lines>
  <Paragraphs>9</Paragraphs>
  <TotalTime>0</TotalTime>
  <ScaleCrop>false</ScaleCrop>
  <LinksUpToDate>false</LinksUpToDate>
  <CharactersWithSpaces>79132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2022-04-27T01:14:00Z</dcterms:created>
  <dc:creator>(pg) Ruihua Li</dc:creator>
  <cp:lastModifiedBy>中华人民共和国交通运输部</cp:lastModifiedBy>
  <dcterms:modified xsi:type="dcterms:W3CDTF">2022-06-02T08:32:26Z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A96342FA63E640658F6BBFFFFEAD4517</vt:lpwstr>
  </property>
</Properties>
</file>